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A4D59" w:rsidRPr="0067008A" w:rsidRDefault="006A4D59" w:rsidP="00677E33">
      <w:pPr>
        <w:spacing w:after="240" w:line="360" w:lineRule="auto"/>
        <w:rPr>
          <w:rFonts w:ascii="Times New Roman" w:hAnsi="Times New Roman" w:cs="Times New Roman"/>
        </w:rPr>
      </w:pPr>
    </w:p>
    <w:p w:rsidR="006A4D59" w:rsidRPr="0067008A" w:rsidRDefault="006A4D59" w:rsidP="00677E33">
      <w:pPr>
        <w:spacing w:after="240" w:line="360" w:lineRule="auto"/>
        <w:rPr>
          <w:rFonts w:ascii="Times New Roman" w:hAnsi="Times New Roman" w:cs="Times New Roman"/>
        </w:rPr>
      </w:pPr>
    </w:p>
    <w:p w:rsidR="006A4D59" w:rsidRPr="0067008A" w:rsidRDefault="006A4D59" w:rsidP="00677E33">
      <w:pPr>
        <w:spacing w:after="240" w:line="360" w:lineRule="auto"/>
        <w:jc w:val="center"/>
        <w:rPr>
          <w:rFonts w:ascii="Times New Roman" w:hAnsi="Times New Roman" w:cs="Times New Roman"/>
        </w:rPr>
      </w:pPr>
    </w:p>
    <w:p w:rsidR="006A4D59" w:rsidRPr="0067008A" w:rsidRDefault="00921711" w:rsidP="00677E33">
      <w:pPr>
        <w:spacing w:after="240" w:line="360" w:lineRule="auto"/>
        <w:jc w:val="center"/>
        <w:rPr>
          <w:rFonts w:ascii="Times New Roman" w:hAnsi="Times New Roman" w:cs="Times New Roman"/>
          <w:b/>
        </w:rPr>
      </w:pPr>
      <w:r w:rsidRPr="0067008A">
        <w:rPr>
          <w:rFonts w:ascii="Times New Roman" w:hAnsi="Times New Roman" w:cs="Times New Roman"/>
          <w:b/>
        </w:rPr>
        <w:t xml:space="preserve">INFORME </w:t>
      </w:r>
    </w:p>
    <w:p w:rsidR="006A4D59" w:rsidRPr="0067008A" w:rsidRDefault="00921711" w:rsidP="00677E33">
      <w:pPr>
        <w:spacing w:after="240" w:line="360" w:lineRule="auto"/>
        <w:jc w:val="center"/>
        <w:rPr>
          <w:rFonts w:ascii="Times New Roman" w:hAnsi="Times New Roman" w:cs="Times New Roman"/>
          <w:b/>
        </w:rPr>
      </w:pPr>
      <w:r w:rsidRPr="0067008A">
        <w:rPr>
          <w:rFonts w:ascii="Times New Roman" w:hAnsi="Times New Roman" w:cs="Times New Roman"/>
          <w:b/>
        </w:rPr>
        <w:t>COMISIÓN ESPECIALIZADA PERMANENTE DE GARANTÍAS CONSTITUCIONALES, DERECHOS HUMANOS, DERECHOS COLECTIVOS Y LA INTERCULTURALIDAD.</w:t>
      </w:r>
    </w:p>
    <w:p w:rsidR="006A4D59" w:rsidRPr="0067008A" w:rsidRDefault="006A4D59" w:rsidP="00677E33">
      <w:pPr>
        <w:spacing w:after="240" w:line="360" w:lineRule="auto"/>
        <w:rPr>
          <w:rFonts w:ascii="Times New Roman" w:hAnsi="Times New Roman" w:cs="Times New Roman"/>
          <w:b/>
        </w:rPr>
      </w:pPr>
    </w:p>
    <w:p w:rsidR="006A4D59" w:rsidRPr="0067008A" w:rsidRDefault="00921711" w:rsidP="00677E33">
      <w:pPr>
        <w:spacing w:after="240" w:line="360" w:lineRule="auto"/>
        <w:jc w:val="center"/>
        <w:rPr>
          <w:rFonts w:ascii="Times New Roman" w:hAnsi="Times New Roman" w:cs="Times New Roman"/>
          <w:b/>
        </w:rPr>
      </w:pPr>
      <w:r w:rsidRPr="0067008A">
        <w:rPr>
          <w:rFonts w:ascii="Times New Roman" w:hAnsi="Times New Roman" w:cs="Times New Roman"/>
          <w:b/>
        </w:rPr>
        <w:t>Quito D.M., A</w:t>
      </w:r>
      <w:r w:rsidR="0060244B" w:rsidRPr="0067008A">
        <w:rPr>
          <w:rFonts w:ascii="Times New Roman" w:hAnsi="Times New Roman" w:cs="Times New Roman"/>
          <w:b/>
        </w:rPr>
        <w:t xml:space="preserve"> 5</w:t>
      </w:r>
      <w:r w:rsidRPr="0067008A">
        <w:rPr>
          <w:rFonts w:ascii="Times New Roman" w:hAnsi="Times New Roman" w:cs="Times New Roman"/>
          <w:b/>
        </w:rPr>
        <w:t xml:space="preserve"> de noviembre de 2021</w:t>
      </w:r>
    </w:p>
    <w:p w:rsidR="006A4D59" w:rsidRPr="0067008A" w:rsidRDefault="006A4D59" w:rsidP="00677E33">
      <w:pPr>
        <w:spacing w:after="240" w:line="360" w:lineRule="auto"/>
        <w:jc w:val="center"/>
        <w:rPr>
          <w:rFonts w:ascii="Times New Roman" w:hAnsi="Times New Roman" w:cs="Times New Roman"/>
          <w:b/>
        </w:rPr>
      </w:pPr>
    </w:p>
    <w:p w:rsidR="006A4D59" w:rsidRPr="0067008A" w:rsidRDefault="00921711" w:rsidP="00677E33">
      <w:pPr>
        <w:spacing w:after="240" w:line="360" w:lineRule="auto"/>
        <w:ind w:left="591" w:right="128"/>
        <w:jc w:val="center"/>
        <w:rPr>
          <w:rFonts w:ascii="Times New Roman" w:hAnsi="Times New Roman" w:cs="Times New Roman"/>
          <w:b/>
          <w:w w:val="115"/>
        </w:rPr>
      </w:pPr>
      <w:r w:rsidRPr="0067008A">
        <w:rPr>
          <w:rFonts w:ascii="Times New Roman" w:hAnsi="Times New Roman" w:cs="Times New Roman"/>
          <w:b/>
          <w:w w:val="115"/>
        </w:rPr>
        <w:t>Informe</w:t>
      </w:r>
      <w:r w:rsidRPr="0067008A">
        <w:rPr>
          <w:rFonts w:ascii="Times New Roman" w:hAnsi="Times New Roman" w:cs="Times New Roman"/>
          <w:b/>
          <w:spacing w:val="25"/>
          <w:w w:val="115"/>
        </w:rPr>
        <w:t xml:space="preserve"> </w:t>
      </w:r>
      <w:r w:rsidRPr="0067008A">
        <w:rPr>
          <w:rFonts w:ascii="Times New Roman" w:eastAsia="Times New Roman" w:hAnsi="Times New Roman" w:cs="Times New Roman"/>
          <w:b/>
          <w:color w:val="000000"/>
          <w:lang w:eastAsia="es-EC"/>
        </w:rPr>
        <w:t xml:space="preserve">de la Investigación Parlamentaria correspondiente al caso denominado “PANDORA PAPERS” </w:t>
      </w:r>
      <w:r w:rsidR="00677E33" w:rsidRPr="0067008A">
        <w:rPr>
          <w:rFonts w:ascii="Times New Roman" w:eastAsia="Times New Roman" w:hAnsi="Times New Roman" w:cs="Times New Roman"/>
          <w:b/>
          <w:color w:val="000000"/>
          <w:lang w:eastAsia="es-EC"/>
        </w:rPr>
        <w:t>y</w:t>
      </w:r>
      <w:r w:rsidRPr="0067008A">
        <w:rPr>
          <w:rFonts w:ascii="Times New Roman" w:eastAsia="Times New Roman" w:hAnsi="Times New Roman" w:cs="Times New Roman"/>
          <w:b/>
          <w:color w:val="000000"/>
          <w:lang w:eastAsia="es-EC"/>
        </w:rPr>
        <w:t xml:space="preserve"> la presunta vinculación del Presidente de la Republica Guillermo Lasso Mendoza, </w:t>
      </w:r>
      <w:r w:rsidR="00677E33" w:rsidRPr="0067008A">
        <w:rPr>
          <w:rFonts w:ascii="Times New Roman" w:eastAsia="Times New Roman" w:hAnsi="Times New Roman" w:cs="Times New Roman"/>
          <w:b/>
          <w:color w:val="000000"/>
          <w:lang w:eastAsia="es-EC"/>
        </w:rPr>
        <w:t>con el mismo</w:t>
      </w:r>
      <w:r w:rsidRPr="0067008A">
        <w:rPr>
          <w:rFonts w:ascii="Times New Roman" w:eastAsia="Times New Roman" w:hAnsi="Times New Roman" w:cs="Times New Roman"/>
          <w:b/>
          <w:color w:val="000000"/>
          <w:lang w:eastAsia="es-EC"/>
        </w:rPr>
        <w:t xml:space="preserve">. </w:t>
      </w:r>
    </w:p>
    <w:p w:rsidR="00677E33" w:rsidRPr="0067008A" w:rsidRDefault="00677E33" w:rsidP="00677E33">
      <w:pPr>
        <w:spacing w:after="240" w:line="360" w:lineRule="auto"/>
        <w:jc w:val="both"/>
        <w:rPr>
          <w:rFonts w:ascii="Times New Roman" w:hAnsi="Times New Roman" w:cs="Times New Roman"/>
          <w:b/>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Miembros de la Comisión: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Asambleísta José Fernando Cabascango Collaguazo – Presidente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Asambleísta Victoria Tatiana Desintonio Malavé – Vicepresidenta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Asambleísta Gruber Cesario Zambrano Azua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Asambleísta Edgar Patricio Quezada Patiño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Asambleísta Mario Fernando Ruiz Jácome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Asambleísta Javier Virgilio Saquicela Espinoza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Asambleísta Janeth Paola Cabezas Castillo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Asambleísta </w:t>
      </w:r>
      <w:r w:rsidR="00232DED" w:rsidRPr="0067008A">
        <w:rPr>
          <w:rFonts w:ascii="Times New Roman" w:hAnsi="Times New Roman" w:cs="Times New Roman"/>
        </w:rPr>
        <w:t>Sandra Sofía Sánchez Urgiles</w:t>
      </w:r>
      <w:r w:rsidR="00677E33" w:rsidRPr="0067008A">
        <w:rPr>
          <w:rFonts w:ascii="Times New Roman" w:hAnsi="Times New Roman" w:cs="Times New Roman"/>
        </w:rPr>
        <w:t xml:space="preserve">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Asambleísta María Fernanda Astudillo Barrezueta</w:t>
      </w:r>
    </w:p>
    <w:p w:rsidR="006A4D59" w:rsidRPr="0067008A" w:rsidRDefault="00921711" w:rsidP="00677E33">
      <w:pPr>
        <w:spacing w:after="240" w:line="360" w:lineRule="auto"/>
        <w:jc w:val="center"/>
        <w:rPr>
          <w:rFonts w:ascii="Times New Roman" w:hAnsi="Times New Roman" w:cs="Times New Roman"/>
          <w:b/>
        </w:rPr>
      </w:pPr>
      <w:r w:rsidRPr="0067008A">
        <w:rPr>
          <w:rFonts w:ascii="Times New Roman" w:hAnsi="Times New Roman" w:cs="Times New Roman"/>
          <w:b/>
        </w:rPr>
        <w:t>ÍNDICE</w:t>
      </w:r>
    </w:p>
    <w:p w:rsidR="006A4D59" w:rsidRPr="0067008A" w:rsidRDefault="006A4D59" w:rsidP="00677E33">
      <w:pPr>
        <w:spacing w:after="240" w:line="360" w:lineRule="auto"/>
        <w:ind w:left="720"/>
        <w:jc w:val="center"/>
        <w:rPr>
          <w:rFonts w:ascii="Times New Roman" w:hAnsi="Times New Roman" w:cs="Times New Roman"/>
          <w:b/>
        </w:rPr>
      </w:pPr>
    </w:p>
    <w:p w:rsidR="006A4D59" w:rsidRPr="0067008A" w:rsidRDefault="006A4D59" w:rsidP="00677E33">
      <w:pPr>
        <w:spacing w:after="240" w:line="360" w:lineRule="auto"/>
        <w:ind w:left="720"/>
        <w:jc w:val="center"/>
        <w:rPr>
          <w:rFonts w:ascii="Times New Roman" w:hAnsi="Times New Roman" w:cs="Times New Roman"/>
          <w:b/>
        </w:rPr>
      </w:pPr>
    </w:p>
    <w:p w:rsidR="006A4D59" w:rsidRPr="0067008A" w:rsidRDefault="006A4D59" w:rsidP="00677E33">
      <w:pPr>
        <w:spacing w:after="240" w:line="360" w:lineRule="auto"/>
        <w:ind w:left="720"/>
        <w:jc w:val="center"/>
        <w:rPr>
          <w:rFonts w:ascii="Times New Roman" w:hAnsi="Times New Roman" w:cs="Times New Roman"/>
          <w:b/>
        </w:rPr>
      </w:pPr>
    </w:p>
    <w:p w:rsidR="006A4D59" w:rsidRPr="0067008A" w:rsidRDefault="006A4D59" w:rsidP="00677E33">
      <w:pPr>
        <w:spacing w:after="240" w:line="360" w:lineRule="auto"/>
        <w:ind w:left="720"/>
        <w:jc w:val="center"/>
        <w:rPr>
          <w:rFonts w:ascii="Times New Roman" w:hAnsi="Times New Roman" w:cs="Times New Roman"/>
          <w:b/>
        </w:rPr>
      </w:pPr>
    </w:p>
    <w:p w:rsidR="006A4D59" w:rsidRPr="0067008A" w:rsidRDefault="006A4D59" w:rsidP="00677E33">
      <w:pPr>
        <w:spacing w:after="240" w:line="360" w:lineRule="auto"/>
        <w:ind w:left="720"/>
        <w:jc w:val="center"/>
        <w:rPr>
          <w:rFonts w:ascii="Times New Roman" w:hAnsi="Times New Roman" w:cs="Times New Roman"/>
          <w:b/>
        </w:rPr>
      </w:pPr>
    </w:p>
    <w:p w:rsidR="006A4D59" w:rsidRPr="0067008A" w:rsidRDefault="006A4D59" w:rsidP="00677E33">
      <w:pPr>
        <w:spacing w:after="240" w:line="360" w:lineRule="auto"/>
        <w:ind w:left="720"/>
        <w:jc w:val="center"/>
        <w:rPr>
          <w:rFonts w:ascii="Times New Roman" w:hAnsi="Times New Roman" w:cs="Times New Roman"/>
          <w:b/>
        </w:rPr>
      </w:pPr>
    </w:p>
    <w:p w:rsidR="006A4D59" w:rsidRPr="0067008A" w:rsidRDefault="006A4D59" w:rsidP="00677E33">
      <w:pPr>
        <w:spacing w:after="240" w:line="360" w:lineRule="auto"/>
        <w:ind w:left="720"/>
        <w:jc w:val="center"/>
        <w:rPr>
          <w:rFonts w:ascii="Times New Roman" w:hAnsi="Times New Roman" w:cs="Times New Roman"/>
          <w:b/>
        </w:rPr>
      </w:pPr>
    </w:p>
    <w:p w:rsidR="006A4D59" w:rsidRPr="0067008A" w:rsidRDefault="006A4D59" w:rsidP="00677E33">
      <w:pPr>
        <w:spacing w:after="240" w:line="360" w:lineRule="auto"/>
        <w:ind w:left="720"/>
        <w:jc w:val="center"/>
        <w:rPr>
          <w:rFonts w:ascii="Times New Roman" w:hAnsi="Times New Roman" w:cs="Times New Roman"/>
          <w:b/>
        </w:rPr>
      </w:pPr>
    </w:p>
    <w:p w:rsidR="006A4D59" w:rsidRPr="0067008A" w:rsidRDefault="006A4D59" w:rsidP="00677E33">
      <w:pPr>
        <w:spacing w:after="240" w:line="360" w:lineRule="auto"/>
        <w:ind w:left="720"/>
        <w:jc w:val="center"/>
        <w:rPr>
          <w:rFonts w:ascii="Times New Roman" w:hAnsi="Times New Roman" w:cs="Times New Roman"/>
          <w:b/>
        </w:rPr>
      </w:pPr>
    </w:p>
    <w:p w:rsidR="006A4D59" w:rsidRPr="0067008A" w:rsidRDefault="006A4D59" w:rsidP="00677E33">
      <w:pPr>
        <w:spacing w:after="240" w:line="360" w:lineRule="auto"/>
        <w:ind w:left="720"/>
        <w:jc w:val="center"/>
        <w:rPr>
          <w:rFonts w:ascii="Times New Roman" w:hAnsi="Times New Roman" w:cs="Times New Roman"/>
          <w:b/>
        </w:rPr>
      </w:pPr>
    </w:p>
    <w:p w:rsidR="006A4D59" w:rsidRPr="0067008A" w:rsidRDefault="006A4D59" w:rsidP="00677E33">
      <w:pPr>
        <w:spacing w:after="240" w:line="360" w:lineRule="auto"/>
        <w:ind w:left="720"/>
        <w:jc w:val="center"/>
        <w:rPr>
          <w:rFonts w:ascii="Times New Roman" w:hAnsi="Times New Roman" w:cs="Times New Roman"/>
          <w:b/>
        </w:rPr>
      </w:pPr>
    </w:p>
    <w:p w:rsidR="006A4D59" w:rsidRPr="0067008A" w:rsidRDefault="006A4D59" w:rsidP="00677E33">
      <w:pPr>
        <w:spacing w:after="240" w:line="360" w:lineRule="auto"/>
        <w:ind w:left="720"/>
        <w:jc w:val="center"/>
        <w:rPr>
          <w:rFonts w:ascii="Times New Roman" w:hAnsi="Times New Roman" w:cs="Times New Roman"/>
          <w:b/>
        </w:rPr>
      </w:pPr>
    </w:p>
    <w:p w:rsidR="006A4D59" w:rsidRPr="0067008A" w:rsidRDefault="006A4D59" w:rsidP="00677E33">
      <w:pPr>
        <w:spacing w:after="240" w:line="360" w:lineRule="auto"/>
        <w:ind w:left="720"/>
        <w:jc w:val="center"/>
        <w:rPr>
          <w:rFonts w:ascii="Times New Roman" w:hAnsi="Times New Roman" w:cs="Times New Roman"/>
          <w:b/>
        </w:rPr>
      </w:pPr>
    </w:p>
    <w:p w:rsidR="006A4D59" w:rsidRPr="0067008A" w:rsidRDefault="006A4D59" w:rsidP="00677E33">
      <w:pPr>
        <w:spacing w:after="240" w:line="360" w:lineRule="auto"/>
        <w:ind w:left="720"/>
        <w:jc w:val="center"/>
        <w:rPr>
          <w:rFonts w:ascii="Times New Roman" w:hAnsi="Times New Roman" w:cs="Times New Roman"/>
          <w:b/>
        </w:rPr>
      </w:pPr>
    </w:p>
    <w:p w:rsidR="006A4D59" w:rsidRPr="0067008A" w:rsidRDefault="006A4D59" w:rsidP="00677E33">
      <w:pPr>
        <w:spacing w:after="240" w:line="360" w:lineRule="auto"/>
        <w:ind w:left="720"/>
        <w:jc w:val="center"/>
        <w:rPr>
          <w:rFonts w:ascii="Times New Roman" w:hAnsi="Times New Roman" w:cs="Times New Roman"/>
          <w:b/>
        </w:rPr>
      </w:pPr>
    </w:p>
    <w:p w:rsidR="006A4D59" w:rsidRPr="0067008A" w:rsidRDefault="006A4D59" w:rsidP="00677E33">
      <w:pPr>
        <w:spacing w:after="240" w:line="360" w:lineRule="auto"/>
        <w:ind w:left="720"/>
        <w:jc w:val="center"/>
        <w:rPr>
          <w:rFonts w:ascii="Times New Roman" w:hAnsi="Times New Roman" w:cs="Times New Roman"/>
          <w:b/>
        </w:rPr>
      </w:pPr>
    </w:p>
    <w:p w:rsidR="006A4D59" w:rsidRPr="0067008A" w:rsidRDefault="006A4D59" w:rsidP="00677E33">
      <w:pPr>
        <w:spacing w:after="240" w:line="360" w:lineRule="auto"/>
        <w:ind w:left="720"/>
        <w:jc w:val="center"/>
        <w:rPr>
          <w:rFonts w:ascii="Times New Roman" w:hAnsi="Times New Roman" w:cs="Times New Roman"/>
          <w:b/>
        </w:rPr>
      </w:pPr>
    </w:p>
    <w:p w:rsidR="006A4D59" w:rsidRPr="0067008A" w:rsidRDefault="006A4D59" w:rsidP="00677E33">
      <w:pPr>
        <w:spacing w:after="240" w:line="360" w:lineRule="auto"/>
        <w:ind w:left="720"/>
        <w:jc w:val="center"/>
        <w:rPr>
          <w:rFonts w:ascii="Times New Roman" w:hAnsi="Times New Roman" w:cs="Times New Roman"/>
          <w:b/>
        </w:rPr>
      </w:pPr>
    </w:p>
    <w:p w:rsidR="006A4D59" w:rsidRPr="0067008A" w:rsidRDefault="006A4D59" w:rsidP="00677E33">
      <w:pPr>
        <w:spacing w:after="240" w:line="360" w:lineRule="auto"/>
        <w:ind w:left="720"/>
        <w:jc w:val="center"/>
        <w:rPr>
          <w:rFonts w:ascii="Times New Roman" w:hAnsi="Times New Roman" w:cs="Times New Roman"/>
          <w:b/>
        </w:rPr>
      </w:pPr>
    </w:p>
    <w:p w:rsidR="006A4D59" w:rsidRPr="0067008A" w:rsidRDefault="006A4D59" w:rsidP="00677E33">
      <w:pPr>
        <w:spacing w:after="240" w:line="360" w:lineRule="auto"/>
        <w:ind w:left="720"/>
        <w:jc w:val="center"/>
        <w:rPr>
          <w:rFonts w:ascii="Times New Roman" w:hAnsi="Times New Roman" w:cs="Times New Roman"/>
          <w:b/>
        </w:rPr>
      </w:pPr>
    </w:p>
    <w:p w:rsidR="006A4D59" w:rsidRPr="0067008A" w:rsidRDefault="006A4D59" w:rsidP="00677E33">
      <w:pPr>
        <w:spacing w:after="240" w:line="360" w:lineRule="auto"/>
        <w:rPr>
          <w:rFonts w:ascii="Times New Roman" w:hAnsi="Times New Roman" w:cs="Times New Roman"/>
          <w:b/>
        </w:rPr>
      </w:pPr>
    </w:p>
    <w:p w:rsidR="006A4D59" w:rsidRPr="0067008A" w:rsidRDefault="00677E33" w:rsidP="00677E33">
      <w:pPr>
        <w:numPr>
          <w:ilvl w:val="0"/>
          <w:numId w:val="15"/>
        </w:numPr>
        <w:spacing w:after="240" w:line="360" w:lineRule="auto"/>
        <w:rPr>
          <w:rFonts w:ascii="Times New Roman" w:hAnsi="Times New Roman" w:cs="Times New Roman"/>
          <w:b/>
        </w:rPr>
      </w:pPr>
      <w:r w:rsidRPr="0067008A">
        <w:rPr>
          <w:rStyle w:val="ListLabel1"/>
          <w:rFonts w:ascii="Times New Roman" w:hAnsi="Times New Roman" w:cs="Times New Roman"/>
        </w:rPr>
        <w:t>ANTECEDENTES</w:t>
      </w:r>
    </w:p>
    <w:p w:rsidR="006A4D59" w:rsidRPr="0067008A" w:rsidRDefault="00921711" w:rsidP="00677E33">
      <w:pPr>
        <w:pStyle w:val="Cuerpo"/>
        <w:spacing w:after="240"/>
        <w:rPr>
          <w:rFonts w:ascii="Times New Roman" w:hAnsi="Times New Roman" w:cs="Times New Roman"/>
          <w:szCs w:val="22"/>
        </w:rPr>
      </w:pPr>
      <w:r w:rsidRPr="0067008A">
        <w:rPr>
          <w:rFonts w:ascii="Times New Roman" w:hAnsi="Times New Roman" w:cs="Times New Roman"/>
          <w:szCs w:val="22"/>
        </w:rPr>
        <w:t xml:space="preserve">Según la Organización de Cooperación y Desarrollo Económico -OCDE-, en los paraísos fiscales se ocultan de 5 a 7 billones de dólares. </w:t>
      </w:r>
      <w:r w:rsidRPr="0067008A">
        <w:rPr>
          <w:rFonts w:ascii="Times New Roman" w:hAnsi="Times New Roman" w:cs="Times New Roman"/>
          <w:i/>
          <w:iCs/>
          <w:szCs w:val="22"/>
        </w:rPr>
        <w:t>Tax Justice</w:t>
      </w:r>
      <w:r w:rsidR="006D5C04" w:rsidRPr="0067008A">
        <w:rPr>
          <w:rFonts w:ascii="Times New Roman" w:hAnsi="Times New Roman" w:cs="Times New Roman"/>
          <w:i/>
          <w:iCs/>
          <w:szCs w:val="22"/>
        </w:rPr>
        <w:t xml:space="preserve"> </w:t>
      </w:r>
      <w:r w:rsidRPr="0067008A">
        <w:rPr>
          <w:rFonts w:ascii="Times New Roman" w:hAnsi="Times New Roman" w:cs="Times New Roman"/>
          <w:i/>
          <w:iCs/>
          <w:szCs w:val="22"/>
        </w:rPr>
        <w:t>Network</w:t>
      </w:r>
      <w:r w:rsidRPr="0067008A">
        <w:rPr>
          <w:rFonts w:ascii="Times New Roman" w:hAnsi="Times New Roman" w:cs="Times New Roman"/>
          <w:szCs w:val="22"/>
        </w:rPr>
        <w:t xml:space="preserve">, señala que el dinero de los impuestos evadidos a través de paraísos fiscales supera los </w:t>
      </w:r>
      <w:r w:rsidR="00677E33" w:rsidRPr="0067008A">
        <w:rPr>
          <w:rFonts w:ascii="Times New Roman" w:hAnsi="Times New Roman" w:cs="Times New Roman"/>
          <w:szCs w:val="22"/>
        </w:rPr>
        <w:t xml:space="preserve">USD </w:t>
      </w:r>
      <w:r w:rsidRPr="0067008A">
        <w:rPr>
          <w:rFonts w:ascii="Times New Roman" w:hAnsi="Times New Roman" w:cs="Times New Roman"/>
          <w:szCs w:val="22"/>
        </w:rPr>
        <w:t>255</w:t>
      </w:r>
      <w:r w:rsidR="00677E33" w:rsidRPr="0067008A">
        <w:rPr>
          <w:rFonts w:ascii="Times New Roman" w:hAnsi="Times New Roman" w:cs="Times New Roman"/>
          <w:szCs w:val="22"/>
        </w:rPr>
        <w:t xml:space="preserve"> mil</w:t>
      </w:r>
      <w:r w:rsidRPr="0067008A">
        <w:rPr>
          <w:rFonts w:ascii="Times New Roman" w:hAnsi="Times New Roman" w:cs="Times New Roman"/>
          <w:szCs w:val="22"/>
        </w:rPr>
        <w:t xml:space="preserve"> millones de dólares anuales, cantidad necesaria para lograr los objetivos del milenio propuestos por las Naciones Unidas.</w:t>
      </w:r>
    </w:p>
    <w:p w:rsidR="006A4D59" w:rsidRPr="0067008A" w:rsidRDefault="00677E33" w:rsidP="00677E33">
      <w:pPr>
        <w:pStyle w:val="Cuerpo"/>
        <w:spacing w:after="240"/>
        <w:rPr>
          <w:rFonts w:ascii="Times New Roman" w:hAnsi="Times New Roman" w:cs="Times New Roman"/>
          <w:szCs w:val="22"/>
        </w:rPr>
      </w:pPr>
      <w:r w:rsidRPr="0067008A">
        <w:rPr>
          <w:rFonts w:ascii="Times New Roman" w:hAnsi="Times New Roman" w:cs="Times New Roman"/>
          <w:szCs w:val="22"/>
        </w:rPr>
        <w:t xml:space="preserve">En este contexto, </w:t>
      </w:r>
      <w:r w:rsidR="00921711" w:rsidRPr="0067008A">
        <w:rPr>
          <w:rFonts w:ascii="Times New Roman" w:hAnsi="Times New Roman" w:cs="Times New Roman"/>
          <w:szCs w:val="22"/>
        </w:rPr>
        <w:t xml:space="preserve">la gestión fiscal es fundamental para garantizar el adecuado ejercicio de los derechos humanos, pues sin recursos en el Presupuesto General del Estado, no </w:t>
      </w:r>
      <w:r w:rsidRPr="0067008A">
        <w:rPr>
          <w:rFonts w:ascii="Times New Roman" w:hAnsi="Times New Roman" w:cs="Times New Roman"/>
          <w:szCs w:val="22"/>
        </w:rPr>
        <w:t>pueden efectivizarse los</w:t>
      </w:r>
      <w:r w:rsidR="00921711" w:rsidRPr="0067008A">
        <w:rPr>
          <w:rFonts w:ascii="Times New Roman" w:hAnsi="Times New Roman" w:cs="Times New Roman"/>
          <w:szCs w:val="22"/>
        </w:rPr>
        <w:t xml:space="preserve"> derechos. Por su parte, las buenas prácticas tributarias son reflejo del verdadero interés de los actores sociales de contribuir con el desarrollo socio económico del país, a la vez que se reducen las brechas de desigualdad. </w:t>
      </w:r>
    </w:p>
    <w:p w:rsidR="006A4D59" w:rsidRPr="0067008A" w:rsidRDefault="00921711" w:rsidP="00677E33">
      <w:pPr>
        <w:pStyle w:val="Cuerpo"/>
        <w:spacing w:after="240"/>
        <w:rPr>
          <w:rFonts w:ascii="Times New Roman" w:hAnsi="Times New Roman" w:cs="Times New Roman"/>
          <w:szCs w:val="22"/>
        </w:rPr>
      </w:pPr>
      <w:r w:rsidRPr="0067008A">
        <w:rPr>
          <w:rFonts w:ascii="Times New Roman" w:hAnsi="Times New Roman" w:cs="Times New Roman"/>
          <w:szCs w:val="22"/>
        </w:rPr>
        <w:t xml:space="preserve">En el ámbito regional, el 22% de la riqueza de América Latina se encuentra en empresas offshore. Esto da como resultado que cada año se dejen de recaudar </w:t>
      </w:r>
      <w:r w:rsidR="00677E33" w:rsidRPr="0067008A">
        <w:rPr>
          <w:rFonts w:ascii="Times New Roman" w:hAnsi="Times New Roman" w:cs="Times New Roman"/>
          <w:szCs w:val="22"/>
        </w:rPr>
        <w:t xml:space="preserve">USD </w:t>
      </w:r>
      <w:r w:rsidRPr="0067008A">
        <w:rPr>
          <w:rFonts w:ascii="Times New Roman" w:hAnsi="Times New Roman" w:cs="Times New Roman"/>
          <w:szCs w:val="22"/>
        </w:rPr>
        <w:t xml:space="preserve">320 mil millones </w:t>
      </w:r>
      <w:r w:rsidR="00677E33" w:rsidRPr="0067008A">
        <w:rPr>
          <w:rFonts w:ascii="Times New Roman" w:hAnsi="Times New Roman" w:cs="Times New Roman"/>
          <w:szCs w:val="22"/>
        </w:rPr>
        <w:t xml:space="preserve">de dólares </w:t>
      </w:r>
      <w:r w:rsidRPr="0067008A">
        <w:rPr>
          <w:rFonts w:ascii="Times New Roman" w:hAnsi="Times New Roman" w:cs="Times New Roman"/>
          <w:szCs w:val="22"/>
        </w:rPr>
        <w:t>por evasión y elusión fiscal, el equivalente al 6.3% del producto interno bruto -PIB- regional. Eso evidentemente impide a los Estados invertir para garantizar derechos humanos básicos como la salud, la vivienda, la educación o el acceso al agua potable.</w:t>
      </w:r>
    </w:p>
    <w:p w:rsidR="006A4D59" w:rsidRPr="0067008A" w:rsidRDefault="00921711" w:rsidP="00677E33">
      <w:pPr>
        <w:pStyle w:val="Cuerpo"/>
        <w:spacing w:after="240"/>
        <w:rPr>
          <w:rFonts w:ascii="Times New Roman" w:hAnsi="Times New Roman" w:cs="Times New Roman"/>
          <w:szCs w:val="22"/>
        </w:rPr>
      </w:pPr>
      <w:r w:rsidRPr="0067008A">
        <w:rPr>
          <w:rFonts w:ascii="Times New Roman" w:hAnsi="Times New Roman" w:cs="Times New Roman"/>
          <w:szCs w:val="22"/>
        </w:rPr>
        <w:t>En el marco de la Organización de Estados Americanos (OEA) en 2017, la Corte Interamericana de Derechos Humanos (CIDH), publicó el informe sobre pobreza y derechos humanos en las Américas</w:t>
      </w:r>
      <w:r w:rsidR="00677E33" w:rsidRPr="0067008A">
        <w:rPr>
          <w:rFonts w:ascii="Times New Roman" w:hAnsi="Times New Roman" w:cs="Times New Roman"/>
          <w:szCs w:val="22"/>
        </w:rPr>
        <w:t>, e</w:t>
      </w:r>
      <w:r w:rsidRPr="0067008A">
        <w:rPr>
          <w:rFonts w:ascii="Times New Roman" w:hAnsi="Times New Roman" w:cs="Times New Roman"/>
          <w:szCs w:val="22"/>
        </w:rPr>
        <w:t xml:space="preserve">n este informe, la CIDH señaló que los derechos humanos guardan un estrecho vínculo con las políticas fiscales que los Estados adopten. A decir de la </w:t>
      </w:r>
      <w:r w:rsidR="00677E33" w:rsidRPr="0067008A">
        <w:rPr>
          <w:rFonts w:ascii="Times New Roman" w:hAnsi="Times New Roman" w:cs="Times New Roman"/>
          <w:szCs w:val="22"/>
        </w:rPr>
        <w:t>CIDH</w:t>
      </w:r>
      <w:r w:rsidRPr="0067008A">
        <w:rPr>
          <w:rFonts w:ascii="Times New Roman" w:hAnsi="Times New Roman" w:cs="Times New Roman"/>
          <w:szCs w:val="22"/>
        </w:rPr>
        <w:t xml:space="preserve">, este particular debe ser observado desde la elaboración de los presupuestos estatales, la implementación o reformas legales, hasta la supervisión y control de la recaudación tributaria. </w:t>
      </w:r>
    </w:p>
    <w:p w:rsidR="006A4D59" w:rsidRPr="0067008A" w:rsidRDefault="00921711" w:rsidP="00677E33">
      <w:pPr>
        <w:pStyle w:val="Cuerpo"/>
        <w:spacing w:after="240"/>
        <w:rPr>
          <w:rFonts w:ascii="Times New Roman" w:hAnsi="Times New Roman" w:cs="Times New Roman"/>
          <w:szCs w:val="22"/>
        </w:rPr>
      </w:pPr>
      <w:r w:rsidRPr="0067008A">
        <w:rPr>
          <w:rFonts w:ascii="Times New Roman" w:hAnsi="Times New Roman" w:cs="Times New Roman"/>
          <w:szCs w:val="22"/>
        </w:rPr>
        <w:t xml:space="preserve">A efecto de combatir las consecuencias de los paraísos fiscales para la economía del Ecuador, se han impulsado varias reformas a las leyes tributarias como la Ley Reformatoria para la Equidad Tributaria en el Ecuador, donde se estableció como parte relacionada a los sujetos pasivos que realicen transacciones con sociedades residentes en paraísos fiscales. Por primera vez en la historia del Ecuador, se le otorgó al Servicio de Rentas Internas la facultad para señalar las jurisdicciones de menor imposición y paraísos fiscales. Se introdujo la no deducibilidad del impuesto a la renta, de las cuotas o cánones por contratos de arrendamiento mercantil internacional o leasing, cuando su pago se haga a residentes en paraísos fiscales. Mediante </w:t>
      </w:r>
      <w:r w:rsidR="00677E33" w:rsidRPr="0067008A">
        <w:rPr>
          <w:rFonts w:ascii="Times New Roman" w:hAnsi="Times New Roman" w:cs="Times New Roman"/>
          <w:szCs w:val="22"/>
        </w:rPr>
        <w:t>la L</w:t>
      </w:r>
      <w:r w:rsidRPr="0067008A">
        <w:rPr>
          <w:rFonts w:ascii="Times New Roman" w:hAnsi="Times New Roman" w:cs="Times New Roman"/>
          <w:szCs w:val="22"/>
        </w:rPr>
        <w:t xml:space="preserve">ey reformatoria publicada en el Suplemento del Registro Oficial No. 94 de 23 de diciembre de 2009, se gravaron los ingresos para la determinación del impuesto a la renta de los dividendos y utilidades distribuidos a favor de sociedades residentes en paraísos fiscales o jurisdicciones de menor imposición. </w:t>
      </w:r>
    </w:p>
    <w:p w:rsidR="006A4D59" w:rsidRPr="0067008A" w:rsidRDefault="00921711" w:rsidP="00677E33">
      <w:pPr>
        <w:pStyle w:val="Cuerpo"/>
        <w:spacing w:after="240"/>
        <w:rPr>
          <w:rFonts w:ascii="Times New Roman" w:hAnsi="Times New Roman" w:cs="Times New Roman"/>
          <w:szCs w:val="22"/>
        </w:rPr>
      </w:pPr>
      <w:r w:rsidRPr="0067008A">
        <w:rPr>
          <w:rFonts w:ascii="Times New Roman" w:hAnsi="Times New Roman" w:cs="Times New Roman"/>
          <w:szCs w:val="22"/>
        </w:rPr>
        <w:t xml:space="preserve">En la Ley Orgánica de Incentivos a la Producción y Prevención de Fraude Fiscal, se excluyó de la exoneración de ingresos para la determinación del impuesto a la renta a los ingresos de fideicomisos mercantiles cuando alguno de sus constituyentes o beneficiarios sea residente en paraísos fiscales. </w:t>
      </w:r>
      <w:r w:rsidR="00677E33" w:rsidRPr="0067008A">
        <w:rPr>
          <w:rFonts w:ascii="Times New Roman" w:hAnsi="Times New Roman" w:cs="Times New Roman"/>
          <w:szCs w:val="22"/>
        </w:rPr>
        <w:t>Además, s</w:t>
      </w:r>
      <w:r w:rsidRPr="0067008A">
        <w:rPr>
          <w:rFonts w:ascii="Times New Roman" w:hAnsi="Times New Roman" w:cs="Times New Roman"/>
          <w:szCs w:val="22"/>
        </w:rPr>
        <w:t>e estableció una retención en la fuente sobre el 100% de las primas de cesión o reaseguros contratados con sociedades aseguradoras residentes en paraísos fiscales. Se aumentó la tarifa del impuesto a la renta cuando las sociedades tengan accionistas o socios residentes en paraísos fiscales con una participación igual o superior al 50 % del capital social</w:t>
      </w:r>
      <w:r w:rsidR="00677E33" w:rsidRPr="0067008A">
        <w:rPr>
          <w:rFonts w:ascii="Times New Roman" w:hAnsi="Times New Roman" w:cs="Times New Roman"/>
          <w:szCs w:val="22"/>
        </w:rPr>
        <w:t xml:space="preserve"> y s</w:t>
      </w:r>
      <w:r w:rsidRPr="0067008A">
        <w:rPr>
          <w:rFonts w:ascii="Times New Roman" w:hAnsi="Times New Roman" w:cs="Times New Roman"/>
          <w:szCs w:val="22"/>
        </w:rPr>
        <w:t xml:space="preserve">e sustituyó la tarifa de impuesto a la renta atribuible a sujetos pasivos no residentes, cuando estos </w:t>
      </w:r>
      <w:r w:rsidR="00677E33" w:rsidRPr="0067008A">
        <w:rPr>
          <w:rFonts w:ascii="Times New Roman" w:hAnsi="Times New Roman" w:cs="Times New Roman"/>
          <w:szCs w:val="22"/>
        </w:rPr>
        <w:t>residan</w:t>
      </w:r>
      <w:r w:rsidRPr="0067008A">
        <w:rPr>
          <w:rFonts w:ascii="Times New Roman" w:hAnsi="Times New Roman" w:cs="Times New Roman"/>
          <w:szCs w:val="22"/>
        </w:rPr>
        <w:t xml:space="preserve"> en paraísos fiscales</w:t>
      </w:r>
      <w:r w:rsidR="00677E33" w:rsidRPr="0067008A">
        <w:rPr>
          <w:rFonts w:ascii="Times New Roman" w:hAnsi="Times New Roman" w:cs="Times New Roman"/>
          <w:szCs w:val="22"/>
        </w:rPr>
        <w:t>;</w:t>
      </w:r>
      <w:r w:rsidRPr="0067008A">
        <w:rPr>
          <w:rFonts w:ascii="Times New Roman" w:hAnsi="Times New Roman" w:cs="Times New Roman"/>
          <w:szCs w:val="22"/>
        </w:rPr>
        <w:t xml:space="preserve"> debiendo aplicarse una retención en la fuente equivalente a la máxima tarifa prevista para personas naturales, esto es el 35%.</w:t>
      </w:r>
    </w:p>
    <w:p w:rsidR="006A4D59" w:rsidRPr="0067008A" w:rsidRDefault="00921711" w:rsidP="00677E33">
      <w:pPr>
        <w:pStyle w:val="Cuerpo"/>
        <w:spacing w:after="240"/>
        <w:rPr>
          <w:rFonts w:ascii="Times New Roman" w:hAnsi="Times New Roman" w:cs="Times New Roman"/>
          <w:szCs w:val="22"/>
        </w:rPr>
      </w:pPr>
      <w:r w:rsidRPr="0067008A">
        <w:rPr>
          <w:rFonts w:ascii="Times New Roman" w:hAnsi="Times New Roman" w:cs="Times New Roman"/>
          <w:szCs w:val="22"/>
        </w:rPr>
        <w:t>Por último, con la Ley Orgánica de Solidaridad</w:t>
      </w:r>
      <w:r w:rsidR="00677E33" w:rsidRPr="0067008A">
        <w:rPr>
          <w:rFonts w:ascii="Times New Roman" w:hAnsi="Times New Roman" w:cs="Times New Roman"/>
          <w:szCs w:val="22"/>
        </w:rPr>
        <w:t xml:space="preserve"> </w:t>
      </w:r>
      <w:r w:rsidRPr="0067008A">
        <w:rPr>
          <w:rFonts w:ascii="Times New Roman" w:hAnsi="Times New Roman" w:cs="Times New Roman"/>
          <w:szCs w:val="22"/>
        </w:rPr>
        <w:t>se introdujo la obligación de los promotores, asesores, consultores y estudios jurídicos de informar bajo juramento a la administración tributaria un reporte sobre la creación, uso y propiedad de sociedades ubicadas en paraísos fiscales, de beneficiarios efectivos ecuatorianos. Además de una tributación adicional respecto de los inmuebles ubicados en tales territorios.</w:t>
      </w:r>
    </w:p>
    <w:p w:rsidR="006A4D59" w:rsidRPr="0067008A" w:rsidRDefault="00921711" w:rsidP="00677E33">
      <w:pPr>
        <w:pStyle w:val="Cuerpo"/>
        <w:spacing w:after="240"/>
        <w:rPr>
          <w:rFonts w:ascii="Times New Roman" w:hAnsi="Times New Roman" w:cs="Times New Roman"/>
          <w:szCs w:val="22"/>
        </w:rPr>
      </w:pPr>
      <w:r w:rsidRPr="0067008A">
        <w:rPr>
          <w:rFonts w:ascii="Times New Roman" w:hAnsi="Times New Roman" w:cs="Times New Roman"/>
          <w:szCs w:val="22"/>
        </w:rPr>
        <w:t>Pese a los esfuerzos de fortalecer las políticas fiscales, la elusión</w:t>
      </w:r>
      <w:r w:rsidR="00677E33" w:rsidRPr="0067008A">
        <w:rPr>
          <w:rFonts w:ascii="Times New Roman" w:hAnsi="Times New Roman" w:cs="Times New Roman"/>
          <w:szCs w:val="22"/>
        </w:rPr>
        <w:t>,</w:t>
      </w:r>
      <w:r w:rsidRPr="0067008A">
        <w:rPr>
          <w:rFonts w:ascii="Times New Roman" w:hAnsi="Times New Roman" w:cs="Times New Roman"/>
          <w:szCs w:val="22"/>
        </w:rPr>
        <w:t xml:space="preserve"> evasión, las excesivas solicitudes de exenciones y deducciones tributarias, privan a los Estados de los recursos necesarios para cumplir con sus obligaciones en materia de derechos humanos. La baja recaudación de recursos públicos se debe a que aquellos sujetos naturales o jurídicos, que más capital poseen, no transparentan su patrimonio para determinar su verdadera capacidad contributiva. </w:t>
      </w:r>
    </w:p>
    <w:p w:rsidR="006A4D59" w:rsidRPr="0067008A" w:rsidRDefault="00921711" w:rsidP="00677E33">
      <w:pPr>
        <w:pStyle w:val="Cuerpo"/>
        <w:spacing w:after="240"/>
        <w:rPr>
          <w:rFonts w:ascii="Times New Roman" w:hAnsi="Times New Roman" w:cs="Times New Roman"/>
          <w:szCs w:val="22"/>
        </w:rPr>
      </w:pPr>
      <w:r w:rsidRPr="0067008A">
        <w:rPr>
          <w:rFonts w:ascii="Times New Roman" w:hAnsi="Times New Roman" w:cs="Times New Roman"/>
          <w:szCs w:val="22"/>
        </w:rPr>
        <w:t xml:space="preserve">En </w:t>
      </w:r>
      <w:r w:rsidR="006D5C04" w:rsidRPr="0067008A">
        <w:rPr>
          <w:rFonts w:ascii="Times New Roman" w:hAnsi="Times New Roman" w:cs="Times New Roman"/>
          <w:szCs w:val="22"/>
        </w:rPr>
        <w:t>consecuencia,</w:t>
      </w:r>
      <w:r w:rsidRPr="0067008A">
        <w:rPr>
          <w:rFonts w:ascii="Times New Roman" w:hAnsi="Times New Roman" w:cs="Times New Roman"/>
          <w:szCs w:val="22"/>
        </w:rPr>
        <w:t xml:space="preserve"> ningún esfuerzo resulta suficiente si quienes se encuentran al frente de un Estado</w:t>
      </w:r>
      <w:r w:rsidR="00677E33" w:rsidRPr="0067008A">
        <w:rPr>
          <w:rFonts w:ascii="Times New Roman" w:hAnsi="Times New Roman" w:cs="Times New Roman"/>
          <w:szCs w:val="22"/>
        </w:rPr>
        <w:t>,</w:t>
      </w:r>
      <w:r w:rsidRPr="0067008A">
        <w:rPr>
          <w:rFonts w:ascii="Times New Roman" w:hAnsi="Times New Roman" w:cs="Times New Roman"/>
          <w:szCs w:val="22"/>
        </w:rPr>
        <w:t xml:space="preserve"> adoptan prácticas contrarias a estas políticas</w:t>
      </w:r>
      <w:r w:rsidR="00677E33" w:rsidRPr="0067008A">
        <w:rPr>
          <w:rFonts w:ascii="Times New Roman" w:hAnsi="Times New Roman" w:cs="Times New Roman"/>
          <w:szCs w:val="22"/>
        </w:rPr>
        <w:t>,</w:t>
      </w:r>
      <w:r w:rsidRPr="0067008A">
        <w:rPr>
          <w:rFonts w:ascii="Times New Roman" w:hAnsi="Times New Roman" w:cs="Times New Roman"/>
          <w:szCs w:val="22"/>
        </w:rPr>
        <w:t xml:space="preserve"> </w:t>
      </w:r>
      <w:r w:rsidR="00677E33" w:rsidRPr="0067008A">
        <w:rPr>
          <w:rFonts w:ascii="Times New Roman" w:hAnsi="Times New Roman" w:cs="Times New Roman"/>
          <w:szCs w:val="22"/>
        </w:rPr>
        <w:t>y e</w:t>
      </w:r>
      <w:r w:rsidRPr="0067008A">
        <w:rPr>
          <w:rFonts w:ascii="Times New Roman" w:hAnsi="Times New Roman" w:cs="Times New Roman"/>
          <w:szCs w:val="22"/>
        </w:rPr>
        <w:t xml:space="preserve">n lugar de ser un referente ético para todos quienes conforman una sociedad, aportando a la consolidación de una buena cultura tributaria, eluden sus responsabilidades con el país. </w:t>
      </w:r>
    </w:p>
    <w:p w:rsidR="006A4D59" w:rsidRPr="0067008A" w:rsidRDefault="00921711" w:rsidP="00677E33">
      <w:pPr>
        <w:pStyle w:val="Cuerpo"/>
        <w:spacing w:after="240"/>
        <w:rPr>
          <w:rFonts w:ascii="Times New Roman" w:hAnsi="Times New Roman" w:cs="Times New Roman"/>
          <w:szCs w:val="22"/>
        </w:rPr>
      </w:pPr>
      <w:r w:rsidRPr="0067008A">
        <w:rPr>
          <w:rFonts w:ascii="Times New Roman" w:hAnsi="Times New Roman" w:cs="Times New Roman"/>
          <w:szCs w:val="22"/>
        </w:rPr>
        <w:t xml:space="preserve">La transparencia en los actos y la coherencia con las necesidades de todo un país, constituyen requisitos primordiales en cualquier persona que pretenda acceder a la función pública, y más aún desempeñar una dignidad de elección popular. Lo contrario a la transparencia es el ocultamiento, trasladar bienes y capitales a paraísos fiscales pone en tela de duda la honestidad de cualquier servidor público. </w:t>
      </w:r>
    </w:p>
    <w:p w:rsidR="006A4D59" w:rsidRPr="0067008A" w:rsidRDefault="00677E33" w:rsidP="00677E33">
      <w:pPr>
        <w:pStyle w:val="Cuerpo"/>
        <w:spacing w:after="240"/>
        <w:rPr>
          <w:rFonts w:ascii="Times New Roman" w:hAnsi="Times New Roman" w:cs="Times New Roman"/>
          <w:szCs w:val="22"/>
        </w:rPr>
      </w:pPr>
      <w:r w:rsidRPr="0067008A">
        <w:rPr>
          <w:rFonts w:ascii="Times New Roman" w:hAnsi="Times New Roman" w:cs="Times New Roman"/>
          <w:szCs w:val="22"/>
        </w:rPr>
        <w:t>Por esta razón, e</w:t>
      </w:r>
      <w:r w:rsidR="00921711" w:rsidRPr="0067008A">
        <w:rPr>
          <w:rFonts w:ascii="Times New Roman" w:hAnsi="Times New Roman" w:cs="Times New Roman"/>
          <w:szCs w:val="22"/>
        </w:rPr>
        <w:t xml:space="preserve">l 14 de julio del 2016, el gobierno </w:t>
      </w:r>
      <w:r w:rsidRPr="0067008A">
        <w:rPr>
          <w:rFonts w:ascii="Times New Roman" w:hAnsi="Times New Roman" w:cs="Times New Roman"/>
          <w:szCs w:val="22"/>
        </w:rPr>
        <w:t>de turno</w:t>
      </w:r>
      <w:r w:rsidR="00921711" w:rsidRPr="0067008A">
        <w:rPr>
          <w:rFonts w:ascii="Times New Roman" w:hAnsi="Times New Roman" w:cs="Times New Roman"/>
          <w:szCs w:val="22"/>
        </w:rPr>
        <w:t xml:space="preserve"> remitió a la Corte Constitucional un proyecto de consulta a fin de establecer una prohibición para el desempeño de una dignidad de elección popular o para ser servidor público, fundamentado en que no se podrá tener bienes o capitales, de cualquier naturaleza en paraísos fiscales</w:t>
      </w:r>
      <w:r w:rsidRPr="0067008A">
        <w:rPr>
          <w:rFonts w:ascii="Times New Roman" w:hAnsi="Times New Roman" w:cs="Times New Roman"/>
          <w:szCs w:val="22"/>
        </w:rPr>
        <w:t xml:space="preserve">; </w:t>
      </w:r>
      <w:r w:rsidR="00921711" w:rsidRPr="0067008A">
        <w:rPr>
          <w:rFonts w:ascii="Times New Roman" w:hAnsi="Times New Roman" w:cs="Times New Roman"/>
          <w:szCs w:val="22"/>
        </w:rPr>
        <w:t>debiendo</w:t>
      </w:r>
      <w:r w:rsidRPr="0067008A">
        <w:rPr>
          <w:rFonts w:ascii="Times New Roman" w:hAnsi="Times New Roman" w:cs="Times New Roman"/>
          <w:szCs w:val="22"/>
        </w:rPr>
        <w:t>,</w:t>
      </w:r>
      <w:r w:rsidR="00921711" w:rsidRPr="0067008A">
        <w:rPr>
          <w:rFonts w:ascii="Times New Roman" w:hAnsi="Times New Roman" w:cs="Times New Roman"/>
          <w:szCs w:val="22"/>
        </w:rPr>
        <w:t xml:space="preserve"> quienes se encontraren incursos en dicha prohibición, dejar de tenerlos dentro del plazo máximo de un año contados a partir de la fecha de promulgación de los resultados de la consulta popular. </w:t>
      </w:r>
    </w:p>
    <w:p w:rsidR="006A4D59" w:rsidRPr="0067008A" w:rsidRDefault="00921711" w:rsidP="00677E33">
      <w:pPr>
        <w:pStyle w:val="Cuerpo"/>
        <w:spacing w:after="240"/>
        <w:rPr>
          <w:rFonts w:ascii="Times New Roman" w:hAnsi="Times New Roman" w:cs="Times New Roman"/>
          <w:szCs w:val="22"/>
        </w:rPr>
      </w:pPr>
      <w:r w:rsidRPr="0067008A">
        <w:rPr>
          <w:rFonts w:ascii="Times New Roman" w:hAnsi="Times New Roman" w:cs="Times New Roman"/>
          <w:szCs w:val="22"/>
        </w:rPr>
        <w:t>La Corte Constitucional asignó a dicho trámite el número No. 001-16-EP, proceso dentro del cual expidió el Dictamen No. 003-16-DCP-CC el 15 de noviembre del 2016, publicado en el Suplemento del Registro Oficial No. 885 de 18 de noviembre del 2016, declarando la constitucionalidad del proyecto de consulta popular propuesto. Con este dictamen el gobierno</w:t>
      </w:r>
      <w:r w:rsidR="00677E33" w:rsidRPr="0067008A">
        <w:rPr>
          <w:rFonts w:ascii="Times New Roman" w:hAnsi="Times New Roman" w:cs="Times New Roman"/>
          <w:szCs w:val="22"/>
        </w:rPr>
        <w:t xml:space="preserve"> de ese entonces,</w:t>
      </w:r>
      <w:r w:rsidRPr="0067008A">
        <w:rPr>
          <w:rFonts w:ascii="Times New Roman" w:hAnsi="Times New Roman" w:cs="Times New Roman"/>
          <w:szCs w:val="22"/>
        </w:rPr>
        <w:t xml:space="preserve"> expidió el Decreto Ejecutivo No. 1269 de 7 de diciembre del 2016, publicado en el Suplemento del Registro Oficial No. 920 de 11 de enero del 2017, por medio del cual se convoca a consulta popular.</w:t>
      </w:r>
    </w:p>
    <w:p w:rsidR="00677E33" w:rsidRPr="0067008A" w:rsidRDefault="00677E33" w:rsidP="00677E33">
      <w:pPr>
        <w:pStyle w:val="Cuerpo"/>
        <w:spacing w:after="240"/>
        <w:rPr>
          <w:rFonts w:ascii="Times New Roman" w:hAnsi="Times New Roman" w:cs="Times New Roman"/>
          <w:szCs w:val="22"/>
        </w:rPr>
      </w:pPr>
      <w:r w:rsidRPr="0067008A">
        <w:rPr>
          <w:rFonts w:ascii="Times New Roman" w:hAnsi="Times New Roman" w:cs="Times New Roman"/>
          <w:szCs w:val="22"/>
        </w:rPr>
        <w:t>Por su parte, e</w:t>
      </w:r>
      <w:r w:rsidR="00921711" w:rsidRPr="0067008A">
        <w:rPr>
          <w:rFonts w:ascii="Times New Roman" w:hAnsi="Times New Roman" w:cs="Times New Roman"/>
          <w:szCs w:val="22"/>
        </w:rPr>
        <w:t xml:space="preserve">l Consejo Nacional Electoral aprobó la convocatoria a consulta popular en sesión de 9 de diciembre del 2016, </w:t>
      </w:r>
      <w:r w:rsidRPr="0067008A">
        <w:rPr>
          <w:rFonts w:ascii="Times New Roman" w:hAnsi="Times New Roman" w:cs="Times New Roman"/>
          <w:szCs w:val="22"/>
        </w:rPr>
        <w:t xml:space="preserve">la que fue </w:t>
      </w:r>
      <w:r w:rsidR="00921711" w:rsidRPr="0067008A">
        <w:rPr>
          <w:rFonts w:ascii="Times New Roman" w:hAnsi="Times New Roman" w:cs="Times New Roman"/>
          <w:szCs w:val="22"/>
        </w:rPr>
        <w:t xml:space="preserve">publicada en el Suplemento del Registro Oficial No. 908 de 22 de diciembre del 2016. </w:t>
      </w:r>
    </w:p>
    <w:p w:rsidR="006A4D59" w:rsidRPr="0067008A" w:rsidRDefault="00921711" w:rsidP="00677E33">
      <w:pPr>
        <w:pStyle w:val="Cuerpo"/>
        <w:spacing w:after="240"/>
        <w:rPr>
          <w:rFonts w:ascii="Times New Roman" w:hAnsi="Times New Roman" w:cs="Times New Roman"/>
          <w:szCs w:val="22"/>
        </w:rPr>
      </w:pPr>
      <w:r w:rsidRPr="0067008A">
        <w:rPr>
          <w:rFonts w:ascii="Times New Roman" w:hAnsi="Times New Roman" w:cs="Times New Roman"/>
          <w:szCs w:val="22"/>
        </w:rPr>
        <w:t xml:space="preserve">La consulta popular se realizó el 19 de febrero del 2017, con la siguiente pregunta para elegir entre la opción </w:t>
      </w:r>
      <w:r w:rsidRPr="0067008A">
        <w:rPr>
          <w:rFonts w:ascii="Times New Roman" w:hAnsi="Times New Roman" w:cs="Times New Roman"/>
          <w:b/>
          <w:bCs/>
          <w:szCs w:val="22"/>
        </w:rPr>
        <w:t>SÍ</w:t>
      </w:r>
      <w:r w:rsidRPr="0067008A">
        <w:rPr>
          <w:rFonts w:ascii="Times New Roman" w:hAnsi="Times New Roman" w:cs="Times New Roman"/>
          <w:szCs w:val="22"/>
        </w:rPr>
        <w:t xml:space="preserve"> y la opción </w:t>
      </w:r>
      <w:r w:rsidRPr="0067008A">
        <w:rPr>
          <w:rFonts w:ascii="Times New Roman" w:hAnsi="Times New Roman" w:cs="Times New Roman"/>
          <w:b/>
          <w:bCs/>
          <w:szCs w:val="22"/>
        </w:rPr>
        <w:t>NO</w:t>
      </w:r>
      <w:r w:rsidRPr="0067008A">
        <w:rPr>
          <w:rFonts w:ascii="Times New Roman" w:hAnsi="Times New Roman" w:cs="Times New Roman"/>
          <w:szCs w:val="22"/>
        </w:rPr>
        <w:t>:</w:t>
      </w:r>
    </w:p>
    <w:p w:rsidR="006A4D59" w:rsidRPr="0067008A" w:rsidRDefault="006D5C04" w:rsidP="00677E33">
      <w:pPr>
        <w:pStyle w:val="Cuerpo"/>
        <w:spacing w:after="240"/>
        <w:ind w:left="720"/>
        <w:rPr>
          <w:rFonts w:ascii="Times New Roman" w:hAnsi="Times New Roman" w:cs="Times New Roman"/>
          <w:i/>
          <w:iCs/>
          <w:szCs w:val="22"/>
        </w:rPr>
      </w:pPr>
      <w:r w:rsidRPr="0067008A">
        <w:rPr>
          <w:rFonts w:ascii="Times New Roman" w:hAnsi="Times New Roman" w:cs="Times New Roman"/>
          <w:i/>
          <w:iCs/>
          <w:szCs w:val="22"/>
        </w:rPr>
        <w:t>“</w:t>
      </w:r>
      <w:r w:rsidR="00921711" w:rsidRPr="0067008A">
        <w:rPr>
          <w:rFonts w:ascii="Times New Roman" w:hAnsi="Times New Roman" w:cs="Times New Roman"/>
          <w:i/>
          <w:iCs/>
          <w:szCs w:val="22"/>
        </w:rPr>
        <w:t>¿Está usted de acuerdo en que, para desempeñar una dignidad de elección popular o para ser servidor público, se establezca como prohibición tener bienes o capitales, de cualquier naturaleza, en paraísos fiscales?</w:t>
      </w:r>
    </w:p>
    <w:p w:rsidR="006A4D59" w:rsidRPr="0067008A" w:rsidRDefault="00921711" w:rsidP="00677E33">
      <w:pPr>
        <w:pStyle w:val="Cuerpo"/>
        <w:spacing w:after="240"/>
        <w:ind w:left="720"/>
        <w:rPr>
          <w:rFonts w:ascii="Times New Roman" w:hAnsi="Times New Roman" w:cs="Times New Roman"/>
          <w:i/>
          <w:iCs/>
          <w:szCs w:val="22"/>
        </w:rPr>
      </w:pPr>
      <w:r w:rsidRPr="0067008A">
        <w:rPr>
          <w:rFonts w:ascii="Times New Roman" w:hAnsi="Times New Roman" w:cs="Times New Roman"/>
          <w:i/>
          <w:iCs/>
          <w:szCs w:val="22"/>
        </w:rPr>
        <w:t>Por lo tanto, en el plazo de un año, contado a partir de la proclamación de los resultados definitivos de la presente consulta popular, la Asamblea Nacional reformará la Ley Orgánica de Servicio Público, el Código de la Democracia y las demás leyes que sean pertinentes, a fin de adecuarlos al pronunciamiento mayoritario del pueblo ecuatoriano</w:t>
      </w:r>
      <w:r w:rsidR="00677E33" w:rsidRPr="0067008A">
        <w:rPr>
          <w:rFonts w:ascii="Times New Roman" w:hAnsi="Times New Roman" w:cs="Times New Roman"/>
          <w:i/>
          <w:iCs/>
          <w:szCs w:val="22"/>
        </w:rPr>
        <w:t>.</w:t>
      </w:r>
      <w:r w:rsidRPr="0067008A">
        <w:rPr>
          <w:rFonts w:ascii="Times New Roman" w:hAnsi="Times New Roman" w:cs="Times New Roman"/>
          <w:i/>
          <w:iCs/>
          <w:szCs w:val="22"/>
        </w:rPr>
        <w:t xml:space="preserve"> En este plazo, los servidores públicos que tengan capitales y bienes, de cualquier naturaleza, en paraísos fiscales deberán acatar el mandato popular y su incumplimiento será causal de destitución</w:t>
      </w:r>
      <w:r w:rsidR="006D5C04" w:rsidRPr="0067008A">
        <w:rPr>
          <w:rFonts w:ascii="Times New Roman" w:hAnsi="Times New Roman" w:cs="Times New Roman"/>
          <w:i/>
          <w:iCs/>
          <w:szCs w:val="22"/>
        </w:rPr>
        <w:t xml:space="preserve">”. </w:t>
      </w:r>
    </w:p>
    <w:p w:rsidR="006A4D59" w:rsidRPr="0067008A" w:rsidRDefault="00921711" w:rsidP="00677E33">
      <w:pPr>
        <w:pStyle w:val="Cuerpo"/>
        <w:spacing w:after="240"/>
        <w:rPr>
          <w:rFonts w:ascii="Times New Roman" w:hAnsi="Times New Roman" w:cs="Times New Roman"/>
          <w:szCs w:val="22"/>
        </w:rPr>
      </w:pPr>
      <w:r w:rsidRPr="0067008A">
        <w:rPr>
          <w:rFonts w:ascii="Times New Roman" w:hAnsi="Times New Roman" w:cs="Times New Roman"/>
          <w:szCs w:val="22"/>
        </w:rPr>
        <w:t>El Consejo Nacional Electoral proclamó los resultados el 6 de marzo de 2017 mediante resolución PLE-CNE-2-6-3-2017</w:t>
      </w:r>
      <w:r w:rsidR="00677E33" w:rsidRPr="0067008A">
        <w:rPr>
          <w:rFonts w:ascii="Times New Roman" w:hAnsi="Times New Roman" w:cs="Times New Roman"/>
          <w:szCs w:val="22"/>
        </w:rPr>
        <w:t>,</w:t>
      </w:r>
      <w:r w:rsidRPr="0067008A">
        <w:rPr>
          <w:rFonts w:ascii="Times New Roman" w:hAnsi="Times New Roman" w:cs="Times New Roman"/>
          <w:szCs w:val="22"/>
        </w:rPr>
        <w:t xml:space="preserve"> con el siguiente detalle:</w:t>
      </w:r>
    </w:p>
    <w:p w:rsidR="006A4D59" w:rsidRPr="0067008A" w:rsidRDefault="006A4D59" w:rsidP="00677E33">
      <w:pPr>
        <w:pStyle w:val="Cuerpo"/>
        <w:spacing w:after="240"/>
        <w:jc w:val="center"/>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677E33" w:rsidRPr="0067008A" w:rsidTr="00CC67C2">
        <w:tc>
          <w:tcPr>
            <w:tcW w:w="4508" w:type="dxa"/>
            <w:shd w:val="clear" w:color="auto" w:fill="auto"/>
          </w:tcPr>
          <w:p w:rsidR="00677E33" w:rsidRPr="00CC67C2" w:rsidRDefault="00677E33" w:rsidP="00CC67C2">
            <w:pPr>
              <w:pStyle w:val="Cuerpo"/>
              <w:spacing w:after="240"/>
              <w:jc w:val="center"/>
              <w:rPr>
                <w:rFonts w:ascii="Times New Roman" w:hAnsi="Times New Roman" w:cs="Times New Roman"/>
                <w:sz w:val="24"/>
                <w:szCs w:val="22"/>
              </w:rPr>
            </w:pPr>
            <w:r w:rsidRPr="00CC67C2">
              <w:rPr>
                <w:rFonts w:ascii="Times New Roman" w:hAnsi="Times New Roman" w:cs="Times New Roman"/>
                <w:szCs w:val="22"/>
              </w:rPr>
              <w:t>PADRÓN ELECTORAL</w:t>
            </w:r>
          </w:p>
        </w:tc>
        <w:tc>
          <w:tcPr>
            <w:tcW w:w="4508" w:type="dxa"/>
            <w:shd w:val="clear" w:color="auto" w:fill="auto"/>
          </w:tcPr>
          <w:p w:rsidR="00677E33" w:rsidRPr="00CC67C2" w:rsidRDefault="00677E33" w:rsidP="00CC67C2">
            <w:pPr>
              <w:pStyle w:val="Cuerpo"/>
              <w:spacing w:after="240"/>
              <w:jc w:val="center"/>
              <w:rPr>
                <w:rFonts w:ascii="Times New Roman" w:hAnsi="Times New Roman" w:cs="Times New Roman"/>
                <w:sz w:val="24"/>
                <w:szCs w:val="22"/>
              </w:rPr>
            </w:pPr>
            <w:r w:rsidRPr="00CC67C2">
              <w:rPr>
                <w:rFonts w:ascii="Times New Roman" w:hAnsi="Times New Roman" w:cs="Times New Roman"/>
                <w:szCs w:val="22"/>
              </w:rPr>
              <w:t>12’816.698</w:t>
            </w:r>
          </w:p>
        </w:tc>
      </w:tr>
      <w:tr w:rsidR="00677E33" w:rsidRPr="0067008A" w:rsidTr="00CC67C2">
        <w:tc>
          <w:tcPr>
            <w:tcW w:w="4508" w:type="dxa"/>
            <w:shd w:val="clear" w:color="auto" w:fill="auto"/>
          </w:tcPr>
          <w:p w:rsidR="00677E33" w:rsidRPr="00CC67C2" w:rsidRDefault="00677E33" w:rsidP="00CC67C2">
            <w:pPr>
              <w:pStyle w:val="Cuerpo"/>
              <w:spacing w:after="240"/>
              <w:jc w:val="center"/>
              <w:rPr>
                <w:rFonts w:ascii="Times New Roman" w:hAnsi="Times New Roman" w:cs="Times New Roman"/>
                <w:sz w:val="24"/>
                <w:szCs w:val="22"/>
              </w:rPr>
            </w:pPr>
            <w:r w:rsidRPr="00CC67C2">
              <w:rPr>
                <w:rFonts w:ascii="Times New Roman" w:hAnsi="Times New Roman" w:cs="Times New Roman"/>
                <w:szCs w:val="22"/>
              </w:rPr>
              <w:t>VOTANTES</w:t>
            </w:r>
          </w:p>
        </w:tc>
        <w:tc>
          <w:tcPr>
            <w:tcW w:w="4508" w:type="dxa"/>
            <w:shd w:val="clear" w:color="auto" w:fill="auto"/>
          </w:tcPr>
          <w:p w:rsidR="00677E33" w:rsidRPr="00CC67C2" w:rsidRDefault="00677E33" w:rsidP="00CC67C2">
            <w:pPr>
              <w:pStyle w:val="Cuerpo"/>
              <w:spacing w:after="240"/>
              <w:jc w:val="center"/>
              <w:rPr>
                <w:rFonts w:ascii="Times New Roman" w:hAnsi="Times New Roman" w:cs="Times New Roman"/>
                <w:sz w:val="24"/>
                <w:szCs w:val="22"/>
              </w:rPr>
            </w:pPr>
            <w:r w:rsidRPr="00CC67C2">
              <w:rPr>
                <w:rFonts w:ascii="Times New Roman" w:hAnsi="Times New Roman" w:cs="Times New Roman"/>
                <w:szCs w:val="22"/>
              </w:rPr>
              <w:t>10’472.302</w:t>
            </w:r>
          </w:p>
        </w:tc>
      </w:tr>
      <w:tr w:rsidR="00677E33" w:rsidRPr="0067008A" w:rsidTr="00CC67C2">
        <w:tc>
          <w:tcPr>
            <w:tcW w:w="4508" w:type="dxa"/>
            <w:shd w:val="clear" w:color="auto" w:fill="auto"/>
          </w:tcPr>
          <w:p w:rsidR="00677E33" w:rsidRPr="00CC67C2" w:rsidRDefault="00677E33" w:rsidP="00CC67C2">
            <w:pPr>
              <w:pStyle w:val="Cuerpo"/>
              <w:spacing w:after="240"/>
              <w:jc w:val="center"/>
              <w:rPr>
                <w:rFonts w:ascii="Times New Roman" w:hAnsi="Times New Roman" w:cs="Times New Roman"/>
                <w:sz w:val="24"/>
                <w:szCs w:val="22"/>
              </w:rPr>
            </w:pPr>
            <w:r w:rsidRPr="00CC67C2">
              <w:rPr>
                <w:rFonts w:ascii="Times New Roman" w:hAnsi="Times New Roman" w:cs="Times New Roman"/>
                <w:szCs w:val="22"/>
              </w:rPr>
              <w:t>VOTOS VÁLIDOS</w:t>
            </w:r>
          </w:p>
        </w:tc>
        <w:tc>
          <w:tcPr>
            <w:tcW w:w="4508" w:type="dxa"/>
            <w:shd w:val="clear" w:color="auto" w:fill="auto"/>
          </w:tcPr>
          <w:p w:rsidR="00677E33" w:rsidRPr="00CC67C2" w:rsidRDefault="00677E33" w:rsidP="00CC67C2">
            <w:pPr>
              <w:pStyle w:val="Cuerpo"/>
              <w:spacing w:after="240"/>
              <w:jc w:val="center"/>
              <w:rPr>
                <w:rFonts w:ascii="Times New Roman" w:hAnsi="Times New Roman" w:cs="Times New Roman"/>
                <w:sz w:val="24"/>
                <w:szCs w:val="22"/>
              </w:rPr>
            </w:pPr>
            <w:r w:rsidRPr="00CC67C2">
              <w:rPr>
                <w:rFonts w:ascii="Times New Roman" w:hAnsi="Times New Roman" w:cs="Times New Roman"/>
                <w:szCs w:val="22"/>
              </w:rPr>
              <w:t>9’315.806</w:t>
            </w:r>
          </w:p>
        </w:tc>
      </w:tr>
      <w:tr w:rsidR="00677E33" w:rsidRPr="0067008A" w:rsidTr="00CC67C2">
        <w:tc>
          <w:tcPr>
            <w:tcW w:w="4508" w:type="dxa"/>
            <w:shd w:val="clear" w:color="auto" w:fill="auto"/>
          </w:tcPr>
          <w:p w:rsidR="00677E33" w:rsidRPr="00CC67C2" w:rsidRDefault="00677E33" w:rsidP="00CC67C2">
            <w:pPr>
              <w:pStyle w:val="Cuerpo"/>
              <w:spacing w:after="240"/>
              <w:jc w:val="center"/>
              <w:rPr>
                <w:rFonts w:ascii="Times New Roman" w:hAnsi="Times New Roman" w:cs="Times New Roman"/>
                <w:sz w:val="24"/>
                <w:szCs w:val="22"/>
              </w:rPr>
            </w:pPr>
            <w:r w:rsidRPr="00CC67C2">
              <w:rPr>
                <w:rFonts w:ascii="Times New Roman" w:hAnsi="Times New Roman" w:cs="Times New Roman"/>
                <w:szCs w:val="22"/>
              </w:rPr>
              <w:t>VOTOS BLANCOS</w:t>
            </w:r>
          </w:p>
        </w:tc>
        <w:tc>
          <w:tcPr>
            <w:tcW w:w="4508" w:type="dxa"/>
            <w:shd w:val="clear" w:color="auto" w:fill="auto"/>
          </w:tcPr>
          <w:p w:rsidR="00677E33" w:rsidRPr="00CC67C2" w:rsidRDefault="00677E33" w:rsidP="00CC67C2">
            <w:pPr>
              <w:pStyle w:val="Cuerpo"/>
              <w:spacing w:after="240"/>
              <w:jc w:val="center"/>
              <w:rPr>
                <w:rFonts w:ascii="Times New Roman" w:hAnsi="Times New Roman" w:cs="Times New Roman"/>
                <w:sz w:val="24"/>
                <w:szCs w:val="22"/>
              </w:rPr>
            </w:pPr>
            <w:r w:rsidRPr="00CC67C2">
              <w:rPr>
                <w:rFonts w:ascii="Times New Roman" w:hAnsi="Times New Roman" w:cs="Times New Roman"/>
                <w:szCs w:val="22"/>
              </w:rPr>
              <w:t>904.648</w:t>
            </w:r>
          </w:p>
        </w:tc>
      </w:tr>
      <w:tr w:rsidR="00677E33" w:rsidRPr="0067008A" w:rsidTr="00CC67C2">
        <w:tc>
          <w:tcPr>
            <w:tcW w:w="4508" w:type="dxa"/>
            <w:shd w:val="clear" w:color="auto" w:fill="auto"/>
          </w:tcPr>
          <w:p w:rsidR="00677E33" w:rsidRPr="00CC67C2" w:rsidRDefault="00677E33" w:rsidP="00CC67C2">
            <w:pPr>
              <w:pStyle w:val="Cuerpo"/>
              <w:spacing w:after="240"/>
              <w:jc w:val="center"/>
              <w:rPr>
                <w:rFonts w:ascii="Times New Roman" w:hAnsi="Times New Roman" w:cs="Times New Roman"/>
                <w:sz w:val="24"/>
                <w:szCs w:val="22"/>
              </w:rPr>
            </w:pPr>
            <w:r w:rsidRPr="00CC67C2">
              <w:rPr>
                <w:rFonts w:ascii="Times New Roman" w:hAnsi="Times New Roman" w:cs="Times New Roman"/>
                <w:szCs w:val="22"/>
              </w:rPr>
              <w:t>VOTOS NULOS</w:t>
            </w:r>
          </w:p>
        </w:tc>
        <w:tc>
          <w:tcPr>
            <w:tcW w:w="4508" w:type="dxa"/>
            <w:shd w:val="clear" w:color="auto" w:fill="auto"/>
          </w:tcPr>
          <w:p w:rsidR="00677E33" w:rsidRPr="00CC67C2" w:rsidRDefault="00677E33" w:rsidP="00CC67C2">
            <w:pPr>
              <w:pStyle w:val="Cuerpo"/>
              <w:spacing w:after="240"/>
              <w:jc w:val="center"/>
              <w:rPr>
                <w:rFonts w:ascii="Times New Roman" w:hAnsi="Times New Roman" w:cs="Times New Roman"/>
                <w:szCs w:val="22"/>
              </w:rPr>
            </w:pPr>
            <w:r w:rsidRPr="00CC67C2">
              <w:rPr>
                <w:rFonts w:ascii="Times New Roman" w:hAnsi="Times New Roman" w:cs="Times New Roman"/>
                <w:szCs w:val="22"/>
              </w:rPr>
              <w:t>431.848</w:t>
            </w:r>
          </w:p>
        </w:tc>
      </w:tr>
      <w:tr w:rsidR="00677E33" w:rsidRPr="0067008A" w:rsidTr="00CC67C2">
        <w:tc>
          <w:tcPr>
            <w:tcW w:w="4508" w:type="dxa"/>
            <w:shd w:val="clear" w:color="auto" w:fill="auto"/>
          </w:tcPr>
          <w:p w:rsidR="00677E33" w:rsidRPr="00CC67C2" w:rsidRDefault="00677E33" w:rsidP="00CC67C2">
            <w:pPr>
              <w:pStyle w:val="Cuerpo"/>
              <w:spacing w:after="240"/>
              <w:jc w:val="center"/>
              <w:rPr>
                <w:rFonts w:ascii="Times New Roman" w:hAnsi="Times New Roman" w:cs="Times New Roman"/>
                <w:bCs/>
                <w:sz w:val="24"/>
                <w:szCs w:val="22"/>
              </w:rPr>
            </w:pPr>
            <w:r w:rsidRPr="00CC67C2">
              <w:rPr>
                <w:rFonts w:ascii="Times New Roman" w:hAnsi="Times New Roman" w:cs="Times New Roman"/>
                <w:bCs/>
                <w:szCs w:val="22"/>
              </w:rPr>
              <w:t>OPCIÓN SI</w:t>
            </w:r>
          </w:p>
        </w:tc>
        <w:tc>
          <w:tcPr>
            <w:tcW w:w="4508" w:type="dxa"/>
            <w:shd w:val="clear" w:color="auto" w:fill="auto"/>
          </w:tcPr>
          <w:p w:rsidR="00677E33" w:rsidRPr="00CC67C2" w:rsidRDefault="00677E33" w:rsidP="00CC67C2">
            <w:pPr>
              <w:pStyle w:val="Cuerpo"/>
              <w:spacing w:after="240"/>
              <w:jc w:val="center"/>
              <w:rPr>
                <w:rFonts w:ascii="Times New Roman" w:hAnsi="Times New Roman" w:cs="Times New Roman"/>
                <w:bCs/>
                <w:szCs w:val="22"/>
              </w:rPr>
            </w:pPr>
            <w:r w:rsidRPr="00CC67C2">
              <w:rPr>
                <w:rFonts w:ascii="Times New Roman" w:hAnsi="Times New Roman" w:cs="Times New Roman"/>
                <w:bCs/>
                <w:szCs w:val="22"/>
              </w:rPr>
              <w:t>5’030.579</w:t>
            </w:r>
          </w:p>
        </w:tc>
      </w:tr>
      <w:tr w:rsidR="00677E33" w:rsidRPr="0067008A" w:rsidTr="00CC67C2">
        <w:tc>
          <w:tcPr>
            <w:tcW w:w="4508" w:type="dxa"/>
            <w:shd w:val="clear" w:color="auto" w:fill="auto"/>
          </w:tcPr>
          <w:p w:rsidR="00677E33" w:rsidRPr="00CC67C2" w:rsidRDefault="00677E33" w:rsidP="00CC67C2">
            <w:pPr>
              <w:pStyle w:val="Cuerpo"/>
              <w:spacing w:after="240"/>
              <w:jc w:val="center"/>
              <w:rPr>
                <w:rFonts w:ascii="Times New Roman" w:hAnsi="Times New Roman" w:cs="Times New Roman"/>
                <w:bCs/>
                <w:sz w:val="24"/>
                <w:szCs w:val="22"/>
              </w:rPr>
            </w:pPr>
            <w:r w:rsidRPr="00CC67C2">
              <w:rPr>
                <w:rFonts w:ascii="Times New Roman" w:hAnsi="Times New Roman" w:cs="Times New Roman"/>
                <w:bCs/>
                <w:szCs w:val="22"/>
              </w:rPr>
              <w:t>OPCIÓN NO</w:t>
            </w:r>
          </w:p>
        </w:tc>
        <w:tc>
          <w:tcPr>
            <w:tcW w:w="4508" w:type="dxa"/>
            <w:shd w:val="clear" w:color="auto" w:fill="auto"/>
          </w:tcPr>
          <w:p w:rsidR="00677E33" w:rsidRPr="00CC67C2" w:rsidRDefault="00677E33" w:rsidP="00CC67C2">
            <w:pPr>
              <w:pStyle w:val="Cuerpo"/>
              <w:spacing w:after="240"/>
              <w:jc w:val="center"/>
              <w:rPr>
                <w:rFonts w:ascii="Times New Roman" w:hAnsi="Times New Roman" w:cs="Times New Roman"/>
                <w:bCs/>
                <w:sz w:val="24"/>
                <w:szCs w:val="22"/>
              </w:rPr>
            </w:pPr>
            <w:r w:rsidRPr="00CC67C2">
              <w:rPr>
                <w:rFonts w:ascii="Times New Roman" w:hAnsi="Times New Roman" w:cs="Times New Roman"/>
                <w:bCs/>
                <w:szCs w:val="22"/>
              </w:rPr>
              <w:t>4’096.559</w:t>
            </w:r>
          </w:p>
        </w:tc>
      </w:tr>
    </w:tbl>
    <w:p w:rsidR="003D0A28" w:rsidRPr="0067008A" w:rsidRDefault="003D0A28" w:rsidP="00677E33">
      <w:pPr>
        <w:pStyle w:val="Cuerpo"/>
        <w:spacing w:after="240"/>
        <w:rPr>
          <w:rFonts w:ascii="Times New Roman" w:hAnsi="Times New Roman" w:cs="Times New Roman"/>
          <w:szCs w:val="22"/>
          <w:lang w:val="es-419"/>
        </w:rPr>
      </w:pPr>
    </w:p>
    <w:p w:rsidR="00677E33" w:rsidRPr="0067008A" w:rsidRDefault="00921711" w:rsidP="00677E33">
      <w:pPr>
        <w:pStyle w:val="Cuerpo"/>
        <w:spacing w:after="240"/>
        <w:rPr>
          <w:rFonts w:ascii="Times New Roman" w:hAnsi="Times New Roman" w:cs="Times New Roman"/>
          <w:bCs/>
          <w:szCs w:val="22"/>
        </w:rPr>
      </w:pPr>
      <w:r w:rsidRPr="0067008A">
        <w:rPr>
          <w:rFonts w:ascii="Times New Roman" w:hAnsi="Times New Roman" w:cs="Times New Roman"/>
          <w:szCs w:val="22"/>
        </w:rPr>
        <w:t xml:space="preserve">Con </w:t>
      </w:r>
      <w:r w:rsidR="00677E33" w:rsidRPr="0067008A">
        <w:rPr>
          <w:rFonts w:ascii="Times New Roman" w:hAnsi="Times New Roman" w:cs="Times New Roman"/>
          <w:szCs w:val="22"/>
        </w:rPr>
        <w:t xml:space="preserve">estos </w:t>
      </w:r>
      <w:r w:rsidRPr="0067008A">
        <w:rPr>
          <w:rFonts w:ascii="Times New Roman" w:hAnsi="Times New Roman" w:cs="Times New Roman"/>
          <w:szCs w:val="22"/>
        </w:rPr>
        <w:t>resultados</w:t>
      </w:r>
      <w:r w:rsidR="00677E33" w:rsidRPr="0067008A">
        <w:rPr>
          <w:rFonts w:ascii="Times New Roman" w:hAnsi="Times New Roman" w:cs="Times New Roman"/>
          <w:szCs w:val="22"/>
        </w:rPr>
        <w:t>,</w:t>
      </w:r>
      <w:r w:rsidRPr="0067008A">
        <w:rPr>
          <w:rFonts w:ascii="Times New Roman" w:hAnsi="Times New Roman" w:cs="Times New Roman"/>
          <w:szCs w:val="22"/>
        </w:rPr>
        <w:t xml:space="preserve"> y de conformidad con el artículo 106 de la Constitución de la República</w:t>
      </w:r>
      <w:r w:rsidR="00677E33" w:rsidRPr="0067008A">
        <w:rPr>
          <w:rFonts w:ascii="Times New Roman" w:hAnsi="Times New Roman" w:cs="Times New Roman"/>
          <w:szCs w:val="22"/>
        </w:rPr>
        <w:t xml:space="preserve"> </w:t>
      </w:r>
      <w:r w:rsidRPr="0067008A">
        <w:rPr>
          <w:rFonts w:ascii="Times New Roman" w:hAnsi="Times New Roman" w:cs="Times New Roman"/>
          <w:szCs w:val="22"/>
        </w:rPr>
        <w:t xml:space="preserve">que señala que </w:t>
      </w:r>
      <w:r w:rsidRPr="0067008A">
        <w:rPr>
          <w:rFonts w:ascii="Times New Roman" w:hAnsi="Times New Roman" w:cs="Times New Roman"/>
          <w:i/>
          <w:szCs w:val="22"/>
        </w:rPr>
        <w:t>“</w:t>
      </w:r>
      <w:r w:rsidR="00677E33" w:rsidRPr="0067008A">
        <w:rPr>
          <w:rFonts w:ascii="Times New Roman" w:hAnsi="Times New Roman" w:cs="Times New Roman"/>
          <w:i/>
          <w:szCs w:val="22"/>
        </w:rPr>
        <w:t>…</w:t>
      </w:r>
      <w:r w:rsidRPr="0067008A">
        <w:rPr>
          <w:rFonts w:ascii="Times New Roman" w:hAnsi="Times New Roman" w:cs="Times New Roman"/>
          <w:i/>
          <w:szCs w:val="22"/>
        </w:rPr>
        <w:t>el pronunciamiento popular es de obligatorio e inmediato cumplimiento”</w:t>
      </w:r>
      <w:r w:rsidR="00677E33" w:rsidRPr="0067008A">
        <w:rPr>
          <w:rFonts w:ascii="Times New Roman" w:hAnsi="Times New Roman" w:cs="Times New Roman"/>
          <w:szCs w:val="22"/>
        </w:rPr>
        <w:t xml:space="preserve">,  </w:t>
      </w:r>
      <w:r w:rsidRPr="0067008A">
        <w:rPr>
          <w:rFonts w:ascii="Times New Roman" w:hAnsi="Times New Roman" w:cs="Times New Roman"/>
          <w:szCs w:val="22"/>
        </w:rPr>
        <w:t>el 8 de septiembre de 2017, en el Suplemento del Registro Oficial No. 75, se public</w:t>
      </w:r>
      <w:r w:rsidR="00677E33" w:rsidRPr="0067008A">
        <w:rPr>
          <w:rFonts w:ascii="Times New Roman" w:hAnsi="Times New Roman" w:cs="Times New Roman"/>
          <w:szCs w:val="22"/>
        </w:rPr>
        <w:t>ó</w:t>
      </w:r>
      <w:r w:rsidRPr="0067008A">
        <w:rPr>
          <w:rFonts w:ascii="Times New Roman" w:hAnsi="Times New Roman" w:cs="Times New Roman"/>
          <w:szCs w:val="22"/>
        </w:rPr>
        <w:t xml:space="preserve"> la </w:t>
      </w:r>
      <w:r w:rsidRPr="0067008A">
        <w:rPr>
          <w:rFonts w:ascii="Times New Roman" w:hAnsi="Times New Roman" w:cs="Times New Roman"/>
          <w:bCs/>
          <w:szCs w:val="22"/>
        </w:rPr>
        <w:t xml:space="preserve">Ley Orgánica para la Aplicación de la Consulta Popular </w:t>
      </w:r>
      <w:r w:rsidR="00677E33" w:rsidRPr="0067008A">
        <w:rPr>
          <w:rFonts w:ascii="Times New Roman" w:hAnsi="Times New Roman" w:cs="Times New Roman"/>
          <w:bCs/>
          <w:szCs w:val="22"/>
        </w:rPr>
        <w:t>e</w:t>
      </w:r>
      <w:r w:rsidRPr="0067008A">
        <w:rPr>
          <w:rFonts w:ascii="Times New Roman" w:hAnsi="Times New Roman" w:cs="Times New Roman"/>
          <w:bCs/>
          <w:szCs w:val="22"/>
        </w:rPr>
        <w:t>fectuada el 19 de Febrero del 2017</w:t>
      </w:r>
      <w:r w:rsidR="00677E33" w:rsidRPr="0067008A">
        <w:rPr>
          <w:rFonts w:ascii="Times New Roman" w:hAnsi="Times New Roman" w:cs="Times New Roman"/>
          <w:bCs/>
          <w:szCs w:val="22"/>
        </w:rPr>
        <w:t>.</w:t>
      </w:r>
    </w:p>
    <w:p w:rsidR="00C011F4" w:rsidRPr="0067008A" w:rsidRDefault="00C011F4" w:rsidP="00C011F4">
      <w:pPr>
        <w:pStyle w:val="Cuerpo"/>
        <w:spacing w:after="240"/>
        <w:rPr>
          <w:rFonts w:ascii="Times New Roman" w:hAnsi="Times New Roman" w:cs="Times New Roman"/>
          <w:szCs w:val="22"/>
        </w:rPr>
      </w:pPr>
      <w:r w:rsidRPr="0067008A">
        <w:rPr>
          <w:rFonts w:ascii="Times New Roman" w:hAnsi="Times New Roman" w:cs="Times New Roman"/>
          <w:szCs w:val="22"/>
          <w:highlight w:val="white"/>
        </w:rPr>
        <w:t xml:space="preserve">El Consorcio Internacional de Periodistas de Investigación, el 3 de octubre de 2021 publicó el trabajo periodístico denominado </w:t>
      </w:r>
      <w:r w:rsidRPr="0067008A">
        <w:rPr>
          <w:rFonts w:ascii="Times New Roman" w:hAnsi="Times New Roman" w:cs="Times New Roman"/>
          <w:i/>
          <w:szCs w:val="22"/>
          <w:highlight w:val="white"/>
        </w:rPr>
        <w:t>"Pandora Papers"</w:t>
      </w:r>
      <w:r w:rsidRPr="0067008A">
        <w:rPr>
          <w:rFonts w:ascii="Times New Roman" w:hAnsi="Times New Roman" w:cs="Times New Roman"/>
          <w:szCs w:val="22"/>
          <w:highlight w:val="white"/>
        </w:rPr>
        <w:t>, el mismo que, según los investigadores, se sustentan en el análisis de aproximadamente 12 millones de documentos investigados por más de 600 periodistas de 117 medios de comunicación en el mundo.</w:t>
      </w:r>
    </w:p>
    <w:p w:rsidR="00C011F4" w:rsidRPr="0067008A" w:rsidRDefault="00C011F4" w:rsidP="00C011F4">
      <w:pPr>
        <w:pStyle w:val="Cuerpo"/>
        <w:spacing w:after="240"/>
        <w:rPr>
          <w:rFonts w:ascii="Times New Roman" w:hAnsi="Times New Roman" w:cs="Times New Roman"/>
          <w:szCs w:val="22"/>
        </w:rPr>
      </w:pPr>
      <w:r w:rsidRPr="0067008A">
        <w:rPr>
          <w:rFonts w:ascii="Times New Roman" w:hAnsi="Times New Roman" w:cs="Times New Roman"/>
          <w:szCs w:val="22"/>
          <w:highlight w:val="white"/>
        </w:rPr>
        <w:t>Las notas de prensa publicadas en distintos diarios a nivel mundial, refiriéndose a la investigación realizada por el Consorcio Internacional de Periodistas de Investigación señalan que el Presidente de la República, el Guillermo Lasso Mendoza tiene vínculos con más de trece (13) compañías offshore y fideicomisos establecidos en Panamá, Dakota del Sur y Delaware en Estados Unidos.</w:t>
      </w:r>
    </w:p>
    <w:p w:rsidR="00C011F4" w:rsidRPr="0067008A" w:rsidRDefault="00C011F4" w:rsidP="00C011F4">
      <w:pPr>
        <w:pStyle w:val="Cuerpo"/>
        <w:spacing w:after="240"/>
        <w:rPr>
          <w:rFonts w:ascii="Times New Roman" w:hAnsi="Times New Roman" w:cs="Times New Roman"/>
          <w:szCs w:val="22"/>
        </w:rPr>
      </w:pPr>
      <w:r w:rsidRPr="0067008A">
        <w:rPr>
          <w:rFonts w:ascii="Times New Roman" w:hAnsi="Times New Roman" w:cs="Times New Roman"/>
          <w:szCs w:val="22"/>
        </w:rPr>
        <w:t xml:space="preserve">Los diarios internacionales difunden incesantemente la noticia de personalidades del arte, el deporte y la política que, en los hallazgos de la investigación periodística, se determinaban dentro de este entramado al que denominaron PANDORA PAPERS. </w:t>
      </w:r>
    </w:p>
    <w:p w:rsidR="00C011F4" w:rsidRPr="0067008A" w:rsidRDefault="00C011F4" w:rsidP="00C011F4">
      <w:pPr>
        <w:pStyle w:val="Cuerpo"/>
        <w:spacing w:after="240"/>
        <w:rPr>
          <w:rFonts w:ascii="Times New Roman" w:hAnsi="Times New Roman" w:cs="Times New Roman"/>
          <w:szCs w:val="22"/>
        </w:rPr>
      </w:pPr>
      <w:r w:rsidRPr="0067008A">
        <w:rPr>
          <w:rFonts w:ascii="Times New Roman" w:hAnsi="Times New Roman" w:cs="Times New Roman"/>
          <w:szCs w:val="22"/>
        </w:rPr>
        <w:t>Entre los registros de líderes políticos, ex mandatarios y mandatarios actuantes, se develaron los nombres de diez ex Presidentes, tres presidentes latinoamericanos en funciones: Sebastián Piñera de Chile, Luis Abinader de República Dominicana y Guillermo Lasso de Ecuador. Esto propició que, en el caso chileno, la Fiscalía de ese país iniciara de inmediato el respectivo proceso de investigación. Para Ecuador, la publicación difundida por el Consorcio de Periodistas Internacionales no fue menos impactante y mereció la reacción inmediata de la sociedad a través de los medios de comunicación y redes sociales y la exigencia de respuesta a los órganos de control e instancias de autoridad respectiva, como es el caso de la Asamblea Nacional.</w:t>
      </w:r>
    </w:p>
    <w:p w:rsidR="00C011F4" w:rsidRPr="0067008A" w:rsidRDefault="00C011F4" w:rsidP="00C011F4">
      <w:pPr>
        <w:pStyle w:val="Cuerpo"/>
        <w:spacing w:after="240"/>
        <w:rPr>
          <w:rFonts w:ascii="Times New Roman" w:hAnsi="Times New Roman" w:cs="Times New Roman"/>
          <w:szCs w:val="22"/>
        </w:rPr>
      </w:pPr>
      <w:r w:rsidRPr="0067008A">
        <w:rPr>
          <w:rFonts w:ascii="Times New Roman" w:hAnsi="Times New Roman" w:cs="Times New Roman"/>
          <w:szCs w:val="22"/>
        </w:rPr>
        <w:t xml:space="preserve">El 07 de octubre de 2021, el Pleno de la Asamblea Nacional del Ecuador, con 105 votos a favor, aprobó la Resolución RL-2021-2023-032, la que en su artículo 1 dispuso: </w:t>
      </w:r>
      <w:r w:rsidRPr="0067008A">
        <w:rPr>
          <w:rFonts w:ascii="Times New Roman" w:hAnsi="Times New Roman" w:cs="Times New Roman"/>
          <w:i/>
          <w:szCs w:val="22"/>
        </w:rPr>
        <w:t>“Requerir a la Comisión Especializada Permanente de Garantías Constitucionales, Derechos Humanos, Derechos Colectivos y la Interculturalidad, efectúe la investigación correspondiente del caso denominado "PANDORA PAPERS", por ser un hecho de gran interés ciudadano que ha generado seria conmoción social; y, en cumplimiento de su temática y funciones determinadas en la Ley Orgánica de la Función Legislativa, solicite las comparecencias y formule los pedidos de información que consideren necesarios, bajo criterios de especialidad y prevalencia legislativa, con el fin esclarecer la vinculación del Presidente de la República, Guillermo Lasso Mendoza, dentro de la investigación periodística divulgada, relacionada con el uso de empresas fantasma en paraísos fiscales y los fines de las mismas.- Artículo 2: “(...) un vez concluida la investigación dispuesta en el artículo 1, así como el periodo de comparecencia y pedidos de información pertinentes, se elabore un informe pormenorizado, con sus respectivas recomendaciones, para que el mismo sea conocido y debatido ante el Pleno de la Asamblea Nacional.”</w:t>
      </w:r>
    </w:p>
    <w:p w:rsidR="00C011F4" w:rsidRPr="0067008A" w:rsidRDefault="00C011F4" w:rsidP="00C011F4">
      <w:pPr>
        <w:pStyle w:val="Cuerpo"/>
        <w:spacing w:after="240"/>
        <w:rPr>
          <w:rFonts w:ascii="Times New Roman" w:hAnsi="Times New Roman" w:cs="Times New Roman"/>
          <w:szCs w:val="22"/>
        </w:rPr>
      </w:pPr>
      <w:r w:rsidRPr="0067008A">
        <w:rPr>
          <w:rFonts w:ascii="Times New Roman" w:hAnsi="Times New Roman" w:cs="Times New Roman"/>
          <w:szCs w:val="22"/>
        </w:rPr>
        <w:t>El 11 de octubre de 2021, la Comisión Especializada Permanente de Garantías Constitucionales, Derechos Humanos, Derechos Colectivos y la Interculturalidad, avocó conocimiento de la Resolución del Pleno de la Asamblea Nacional del Ecuador para iniciar el proceso de investigación del caso PANDORA PAPERS y la presunta vinculación del Presidente de la República Guillermo Lasso Mendoza.</w:t>
      </w:r>
    </w:p>
    <w:p w:rsidR="00C011F4" w:rsidRPr="0067008A" w:rsidRDefault="00C011F4" w:rsidP="00677E33">
      <w:pPr>
        <w:pStyle w:val="Cuerpo"/>
        <w:spacing w:after="240"/>
        <w:rPr>
          <w:rFonts w:ascii="Times New Roman" w:hAnsi="Times New Roman" w:cs="Times New Roman"/>
          <w:szCs w:val="22"/>
        </w:rPr>
      </w:pPr>
      <w:r w:rsidRPr="0067008A">
        <w:rPr>
          <w:rFonts w:ascii="Times New Roman" w:hAnsi="Times New Roman" w:cs="Times New Roman"/>
          <w:szCs w:val="22"/>
        </w:rPr>
        <w:t>El 13 de octubre de 2021, la Comisión Especializada Permanente de Garantías Constitucionales, Derechos Humanos, Derechos Colectivos y la Interculturalidad, aprobó la metodología y el cronograma de trabajo de la Comisión para el análisis, elaboración y aprobación del Informe que debe ser puesto en conocimiento del Pleno de la Asamblea hasta el 06 de noviembre del año en curso.</w:t>
      </w:r>
    </w:p>
    <w:p w:rsidR="006A4D59" w:rsidRPr="0067008A" w:rsidRDefault="00677E33" w:rsidP="00677E33">
      <w:pPr>
        <w:pStyle w:val="Cuerpo"/>
        <w:numPr>
          <w:ilvl w:val="0"/>
          <w:numId w:val="15"/>
        </w:numPr>
        <w:spacing w:after="240"/>
        <w:rPr>
          <w:rStyle w:val="ListLabel1"/>
          <w:rFonts w:ascii="Times New Roman" w:hAnsi="Times New Roman" w:cs="Times New Roman"/>
          <w:szCs w:val="22"/>
        </w:rPr>
      </w:pPr>
      <w:r w:rsidRPr="0067008A">
        <w:rPr>
          <w:rStyle w:val="ListLabel1"/>
          <w:rFonts w:ascii="Times New Roman" w:hAnsi="Times New Roman" w:cs="Times New Roman"/>
          <w:szCs w:val="22"/>
        </w:rPr>
        <w:t>MARCO LEGAL</w:t>
      </w:r>
      <w:r w:rsidR="00921711" w:rsidRPr="0067008A">
        <w:rPr>
          <w:rStyle w:val="ListLabel1"/>
          <w:rFonts w:ascii="Times New Roman" w:hAnsi="Times New Roman" w:cs="Times New Roman"/>
          <w:szCs w:val="22"/>
        </w:rPr>
        <w:t>.</w:t>
      </w:r>
    </w:p>
    <w:p w:rsidR="0058304A" w:rsidRPr="0067008A" w:rsidRDefault="0058304A" w:rsidP="0058304A">
      <w:pPr>
        <w:pStyle w:val="Cuerpo"/>
        <w:spacing w:after="240"/>
        <w:rPr>
          <w:rStyle w:val="ListLabel1"/>
          <w:rFonts w:ascii="Times New Roman" w:hAnsi="Times New Roman" w:cs="Times New Roman"/>
          <w:szCs w:val="22"/>
        </w:rPr>
      </w:pPr>
      <w:r w:rsidRPr="0067008A">
        <w:rPr>
          <w:rStyle w:val="ListLabel1"/>
          <w:rFonts w:ascii="Times New Roman" w:hAnsi="Times New Roman" w:cs="Times New Roman"/>
          <w:szCs w:val="22"/>
        </w:rPr>
        <w:t>Constitución de la República del Ecuador</w:t>
      </w:r>
    </w:p>
    <w:p w:rsidR="006A4D59" w:rsidRPr="0067008A" w:rsidRDefault="00252F4E" w:rsidP="006F5378">
      <w:pPr>
        <w:spacing w:line="240" w:lineRule="auto"/>
        <w:jc w:val="both"/>
        <w:rPr>
          <w:rFonts w:ascii="Times New Roman" w:hAnsi="Times New Roman" w:cs="Times New Roman"/>
          <w:i/>
          <w:iCs/>
        </w:rPr>
      </w:pPr>
      <w:r w:rsidRPr="0067008A">
        <w:rPr>
          <w:rFonts w:ascii="Times New Roman" w:hAnsi="Times New Roman" w:cs="Times New Roman"/>
          <w:b/>
          <w:bCs/>
        </w:rPr>
        <w:t xml:space="preserve">Artículo 76, numerales </w:t>
      </w:r>
      <w:r w:rsidR="00921711" w:rsidRPr="0067008A">
        <w:rPr>
          <w:rFonts w:ascii="Times New Roman" w:hAnsi="Times New Roman" w:cs="Times New Roman"/>
          <w:b/>
          <w:bCs/>
        </w:rPr>
        <w:t>1 y 7</w:t>
      </w:r>
      <w:r w:rsidRPr="0067008A">
        <w:rPr>
          <w:rFonts w:ascii="Times New Roman" w:hAnsi="Times New Roman" w:cs="Times New Roman"/>
          <w:b/>
          <w:bCs/>
        </w:rPr>
        <w:t xml:space="preserve">, </w:t>
      </w:r>
      <w:r w:rsidR="00921711" w:rsidRPr="0067008A">
        <w:rPr>
          <w:rFonts w:ascii="Times New Roman" w:hAnsi="Times New Roman" w:cs="Times New Roman"/>
          <w:b/>
          <w:bCs/>
        </w:rPr>
        <w:t>literal</w:t>
      </w:r>
      <w:r w:rsidR="006F5378" w:rsidRPr="0067008A">
        <w:rPr>
          <w:rFonts w:ascii="Times New Roman" w:hAnsi="Times New Roman" w:cs="Times New Roman"/>
          <w:b/>
          <w:bCs/>
        </w:rPr>
        <w:t xml:space="preserve"> a</w:t>
      </w:r>
      <w:r w:rsidR="00677E33" w:rsidRPr="0067008A">
        <w:rPr>
          <w:rFonts w:ascii="Times New Roman" w:hAnsi="Times New Roman" w:cs="Times New Roman"/>
          <w:b/>
          <w:bCs/>
        </w:rPr>
        <w:t xml:space="preserve">), </w:t>
      </w:r>
      <w:r w:rsidR="00921711" w:rsidRPr="0067008A">
        <w:rPr>
          <w:rFonts w:ascii="Times New Roman" w:hAnsi="Times New Roman" w:cs="Times New Roman"/>
          <w:b/>
          <w:bCs/>
        </w:rPr>
        <w:t>b</w:t>
      </w:r>
      <w:r w:rsidR="00A54BE1" w:rsidRPr="0067008A">
        <w:rPr>
          <w:rFonts w:ascii="Times New Roman" w:hAnsi="Times New Roman" w:cs="Times New Roman"/>
          <w:b/>
          <w:bCs/>
        </w:rPr>
        <w:t>). -</w:t>
      </w:r>
      <w:r w:rsidR="00A54BE1" w:rsidRPr="0067008A">
        <w:rPr>
          <w:rFonts w:ascii="Times New Roman" w:hAnsi="Times New Roman" w:cs="Times New Roman"/>
          <w:i/>
          <w:iCs/>
          <w:highlight w:val="white"/>
        </w:rPr>
        <w:t xml:space="preserve"> “</w:t>
      </w:r>
      <w:r w:rsidR="00921711" w:rsidRPr="0067008A">
        <w:rPr>
          <w:rFonts w:ascii="Times New Roman" w:hAnsi="Times New Roman" w:cs="Times New Roman"/>
          <w:i/>
          <w:iCs/>
          <w:highlight w:val="white"/>
        </w:rPr>
        <w:t>(...) 1. Corresponde a toda autoridad administrativa o judicial, garantizar el cumplimiento de las normas y los derechos de las partes. ;(...) 7. El derecho de las personas a la defensa incluirá las siguientes garantías</w:t>
      </w:r>
      <w:r w:rsidR="00201A92" w:rsidRPr="0067008A">
        <w:rPr>
          <w:rFonts w:ascii="Times New Roman" w:hAnsi="Times New Roman" w:cs="Times New Roman"/>
          <w:i/>
          <w:iCs/>
          <w:highlight w:val="white"/>
        </w:rPr>
        <w:t xml:space="preserve">: </w:t>
      </w:r>
      <w:r w:rsidR="00677E33" w:rsidRPr="0067008A">
        <w:rPr>
          <w:rFonts w:ascii="Times New Roman" w:hAnsi="Times New Roman" w:cs="Times New Roman"/>
        </w:rPr>
        <w:t xml:space="preserve">a) </w:t>
      </w:r>
      <w:r w:rsidR="00677E33" w:rsidRPr="0067008A">
        <w:rPr>
          <w:rFonts w:ascii="Times New Roman" w:eastAsia="Times New Roman" w:hAnsi="Times New Roman" w:cs="Times New Roman"/>
          <w:i/>
          <w:iCs/>
          <w:sz w:val="24"/>
          <w:szCs w:val="24"/>
          <w:lang w:val="es-US"/>
        </w:rPr>
        <w:t xml:space="preserve">Nadie podrá ser privado del derecho a la defensa en ninguna etapa o grado del procedimiento. </w:t>
      </w:r>
      <w:r w:rsidR="00921711" w:rsidRPr="0067008A">
        <w:rPr>
          <w:rFonts w:ascii="Times New Roman" w:hAnsi="Times New Roman" w:cs="Times New Roman"/>
          <w:i/>
          <w:iCs/>
        </w:rPr>
        <w:t>b</w:t>
      </w:r>
      <w:r w:rsidR="00921711" w:rsidRPr="0067008A">
        <w:rPr>
          <w:rFonts w:ascii="Times New Roman" w:hAnsi="Times New Roman" w:cs="Times New Roman"/>
          <w:i/>
          <w:iCs/>
          <w:highlight w:val="white"/>
        </w:rPr>
        <w:t>) Contar con el tiempo y con los medios adecuados para la preparación de su defensa. (…)”</w:t>
      </w:r>
      <w:r w:rsidR="006F5378" w:rsidRPr="0067008A">
        <w:rPr>
          <w:rFonts w:ascii="Times New Roman" w:hAnsi="Times New Roman" w:cs="Times New Roman"/>
          <w:i/>
          <w:iCs/>
        </w:rPr>
        <w:t>.</w:t>
      </w:r>
    </w:p>
    <w:p w:rsidR="00677E33" w:rsidRPr="0067008A" w:rsidRDefault="00677E33" w:rsidP="00677E33">
      <w:pPr>
        <w:spacing w:line="240" w:lineRule="auto"/>
        <w:rPr>
          <w:rFonts w:ascii="Times New Roman" w:eastAsia="Times New Roman" w:hAnsi="Times New Roman" w:cs="Times New Roman"/>
          <w:sz w:val="24"/>
          <w:szCs w:val="24"/>
          <w:lang w:val="es-US"/>
        </w:rPr>
      </w:pPr>
    </w:p>
    <w:p w:rsidR="00252F4E" w:rsidRPr="0067008A" w:rsidRDefault="00252F4E" w:rsidP="00252F4E">
      <w:pPr>
        <w:pStyle w:val="Cuerpo"/>
        <w:spacing w:after="240" w:line="276" w:lineRule="auto"/>
        <w:rPr>
          <w:rFonts w:ascii="Times New Roman" w:hAnsi="Times New Roman" w:cs="Times New Roman"/>
          <w:szCs w:val="22"/>
          <w:highlight w:val="white"/>
        </w:rPr>
      </w:pPr>
      <w:r w:rsidRPr="0067008A">
        <w:rPr>
          <w:rFonts w:ascii="Times New Roman" w:hAnsi="Times New Roman" w:cs="Times New Roman"/>
          <w:b/>
          <w:bCs/>
          <w:szCs w:val="22"/>
          <w:highlight w:val="white"/>
        </w:rPr>
        <w:t>A</w:t>
      </w:r>
      <w:r w:rsidR="00921711" w:rsidRPr="0067008A">
        <w:rPr>
          <w:rFonts w:ascii="Times New Roman" w:hAnsi="Times New Roman" w:cs="Times New Roman"/>
          <w:b/>
          <w:bCs/>
          <w:szCs w:val="22"/>
          <w:highlight w:val="white"/>
        </w:rPr>
        <w:t>rtículo 82</w:t>
      </w:r>
      <w:r w:rsidRPr="0067008A">
        <w:rPr>
          <w:rFonts w:ascii="Times New Roman" w:hAnsi="Times New Roman" w:cs="Times New Roman"/>
          <w:b/>
          <w:bCs/>
          <w:szCs w:val="22"/>
          <w:highlight w:val="white"/>
        </w:rPr>
        <w:t>.-</w:t>
      </w:r>
      <w:r w:rsidRPr="0067008A">
        <w:rPr>
          <w:rFonts w:ascii="Times New Roman" w:hAnsi="Times New Roman" w:cs="Times New Roman"/>
          <w:szCs w:val="22"/>
          <w:highlight w:val="white"/>
        </w:rPr>
        <w:t xml:space="preserve"> </w:t>
      </w:r>
      <w:r w:rsidR="00921711" w:rsidRPr="0067008A">
        <w:rPr>
          <w:rFonts w:ascii="Times New Roman" w:hAnsi="Times New Roman" w:cs="Times New Roman"/>
          <w:szCs w:val="22"/>
          <w:highlight w:val="white"/>
        </w:rPr>
        <w:t xml:space="preserve">El derecho a la seguridad jurídica se fundamenta en el respeto a la Constitución y en la existencia de normas jurídicas previas, claras, públicas y aplicadas por las autoridades competentes". </w:t>
      </w:r>
    </w:p>
    <w:p w:rsidR="006A4D59" w:rsidRPr="0067008A" w:rsidRDefault="00252F4E" w:rsidP="00252F4E">
      <w:pPr>
        <w:pStyle w:val="Cuerpo"/>
        <w:spacing w:after="240" w:line="276" w:lineRule="auto"/>
        <w:rPr>
          <w:rFonts w:ascii="Times New Roman" w:hAnsi="Times New Roman" w:cs="Times New Roman"/>
          <w:szCs w:val="22"/>
        </w:rPr>
      </w:pPr>
      <w:r w:rsidRPr="0067008A">
        <w:rPr>
          <w:rFonts w:ascii="Times New Roman" w:hAnsi="Times New Roman" w:cs="Times New Roman"/>
          <w:b/>
          <w:bCs/>
          <w:szCs w:val="22"/>
          <w:highlight w:val="white"/>
        </w:rPr>
        <w:t>A</w:t>
      </w:r>
      <w:r w:rsidR="00921711" w:rsidRPr="0067008A">
        <w:rPr>
          <w:rFonts w:ascii="Times New Roman" w:hAnsi="Times New Roman" w:cs="Times New Roman"/>
          <w:b/>
          <w:bCs/>
          <w:szCs w:val="22"/>
          <w:highlight w:val="white"/>
        </w:rPr>
        <w:t xml:space="preserve">rtículo 83, </w:t>
      </w:r>
      <w:r w:rsidR="00A54BE1" w:rsidRPr="0067008A">
        <w:rPr>
          <w:rFonts w:ascii="Times New Roman" w:hAnsi="Times New Roman" w:cs="Times New Roman"/>
          <w:b/>
          <w:bCs/>
          <w:szCs w:val="22"/>
          <w:highlight w:val="white"/>
        </w:rPr>
        <w:t>numeral. -</w:t>
      </w:r>
      <w:r w:rsidR="00921711" w:rsidRPr="0067008A">
        <w:rPr>
          <w:rFonts w:ascii="Times New Roman" w:hAnsi="Times New Roman" w:cs="Times New Roman"/>
          <w:szCs w:val="22"/>
          <w:highlight w:val="white"/>
        </w:rPr>
        <w:t xml:space="preserve"> "Son deberes y responsabilidades de las ecuatorianas y los ecuatorianos, sin perjuicio de otros previstos en la Constitución y la ley: 1. Acatar y cumplir la Constitución, la ley y las decisiones legítimas de autoridad competente (…)</w:t>
      </w:r>
      <w:r w:rsidR="00677E33" w:rsidRPr="0067008A">
        <w:rPr>
          <w:rFonts w:ascii="Times New Roman" w:hAnsi="Times New Roman" w:cs="Times New Roman"/>
          <w:szCs w:val="22"/>
          <w:highlight w:val="white"/>
        </w:rPr>
        <w:t>”</w:t>
      </w:r>
      <w:r w:rsidR="002D5000" w:rsidRPr="0067008A">
        <w:rPr>
          <w:rFonts w:ascii="Times New Roman" w:hAnsi="Times New Roman" w:cs="Times New Roman"/>
          <w:szCs w:val="22"/>
        </w:rPr>
        <w:t>.</w:t>
      </w:r>
    </w:p>
    <w:p w:rsidR="00252F4E" w:rsidRPr="0067008A" w:rsidRDefault="00252F4E" w:rsidP="00677E33">
      <w:pPr>
        <w:pStyle w:val="Cuerpo"/>
        <w:spacing w:after="240"/>
        <w:rPr>
          <w:rFonts w:ascii="Times New Roman" w:hAnsi="Times New Roman" w:cs="Times New Roman"/>
          <w:szCs w:val="22"/>
          <w:highlight w:val="white"/>
        </w:rPr>
      </w:pPr>
      <w:r w:rsidRPr="0067008A">
        <w:rPr>
          <w:rFonts w:ascii="Times New Roman" w:hAnsi="Times New Roman" w:cs="Times New Roman"/>
          <w:b/>
          <w:bCs/>
          <w:szCs w:val="22"/>
          <w:highlight w:val="white"/>
        </w:rPr>
        <w:t>A</w:t>
      </w:r>
      <w:r w:rsidR="00921711" w:rsidRPr="0067008A">
        <w:rPr>
          <w:rFonts w:ascii="Times New Roman" w:hAnsi="Times New Roman" w:cs="Times New Roman"/>
          <w:b/>
          <w:bCs/>
          <w:szCs w:val="22"/>
          <w:highlight w:val="white"/>
        </w:rPr>
        <w:t>rtículo 120, numeral 9</w:t>
      </w:r>
      <w:r w:rsidR="00A54BE1" w:rsidRPr="0067008A">
        <w:rPr>
          <w:rFonts w:ascii="Times New Roman" w:hAnsi="Times New Roman" w:cs="Times New Roman"/>
          <w:b/>
          <w:bCs/>
          <w:szCs w:val="22"/>
          <w:highlight w:val="white"/>
        </w:rPr>
        <w:t xml:space="preserve">.- </w:t>
      </w:r>
      <w:r w:rsidR="00921711" w:rsidRPr="0067008A">
        <w:rPr>
          <w:rFonts w:ascii="Times New Roman" w:hAnsi="Times New Roman" w:cs="Times New Roman"/>
          <w:szCs w:val="22"/>
          <w:highlight w:val="white"/>
        </w:rPr>
        <w:t xml:space="preserve">establece como atribución de la Asamblea Nacional: Fiscalizar los actos de las funciones Ejecutiva, Electoral y de Transparencia y Control Social, y los otros órganos del poder público, y requerir a las servidoras y servidores públicos las informaciones que considere necesarias. </w:t>
      </w:r>
    </w:p>
    <w:p w:rsidR="006A4D59" w:rsidRPr="0067008A" w:rsidRDefault="00252F4E" w:rsidP="00677E33">
      <w:pPr>
        <w:pStyle w:val="Cuerpo"/>
        <w:spacing w:after="240"/>
        <w:rPr>
          <w:rFonts w:ascii="Times New Roman" w:hAnsi="Times New Roman" w:cs="Times New Roman"/>
          <w:szCs w:val="22"/>
        </w:rPr>
      </w:pPr>
      <w:r w:rsidRPr="0067008A">
        <w:rPr>
          <w:rFonts w:ascii="Times New Roman" w:hAnsi="Times New Roman" w:cs="Times New Roman"/>
          <w:b/>
          <w:bCs/>
          <w:szCs w:val="22"/>
          <w:highlight w:val="white"/>
        </w:rPr>
        <w:t>A</w:t>
      </w:r>
      <w:r w:rsidR="00921711" w:rsidRPr="0067008A">
        <w:rPr>
          <w:rFonts w:ascii="Times New Roman" w:hAnsi="Times New Roman" w:cs="Times New Roman"/>
          <w:b/>
          <w:bCs/>
          <w:szCs w:val="22"/>
          <w:highlight w:val="white"/>
        </w:rPr>
        <w:t>rtículo 126</w:t>
      </w:r>
      <w:r w:rsidR="00A54BE1" w:rsidRPr="0067008A">
        <w:rPr>
          <w:rFonts w:ascii="Times New Roman" w:hAnsi="Times New Roman" w:cs="Times New Roman"/>
          <w:b/>
          <w:bCs/>
          <w:szCs w:val="22"/>
          <w:highlight w:val="white"/>
        </w:rPr>
        <w:t xml:space="preserve">.- </w:t>
      </w:r>
      <w:r w:rsidR="00921711" w:rsidRPr="0067008A">
        <w:rPr>
          <w:rFonts w:ascii="Times New Roman" w:hAnsi="Times New Roman" w:cs="Times New Roman"/>
          <w:szCs w:val="22"/>
          <w:highlight w:val="white"/>
        </w:rPr>
        <w:t>Para el cumplimiento de sus labores la Asamblea Nacional se regirá por la ley correspondiente y su reglamento interno. Para la reforma o codificación de esta ley se requerirá la mayoría absoluta de los miembros de la Asamblea.</w:t>
      </w:r>
    </w:p>
    <w:p w:rsidR="006A4D59" w:rsidRPr="0067008A" w:rsidRDefault="00252F4E" w:rsidP="00677E33">
      <w:pPr>
        <w:pStyle w:val="Cuerpo"/>
        <w:spacing w:after="240"/>
        <w:rPr>
          <w:rFonts w:ascii="Times New Roman" w:hAnsi="Times New Roman" w:cs="Times New Roman"/>
          <w:szCs w:val="22"/>
          <w:highlight w:val="white"/>
        </w:rPr>
      </w:pPr>
      <w:r w:rsidRPr="0067008A">
        <w:rPr>
          <w:rFonts w:ascii="Times New Roman" w:hAnsi="Times New Roman" w:cs="Times New Roman"/>
          <w:b/>
          <w:bCs/>
          <w:szCs w:val="22"/>
          <w:highlight w:val="white"/>
        </w:rPr>
        <w:t>A</w:t>
      </w:r>
      <w:r w:rsidR="00921711" w:rsidRPr="0067008A">
        <w:rPr>
          <w:rFonts w:ascii="Times New Roman" w:hAnsi="Times New Roman" w:cs="Times New Roman"/>
          <w:b/>
          <w:bCs/>
          <w:szCs w:val="22"/>
          <w:highlight w:val="white"/>
        </w:rPr>
        <w:t>rtículo 127</w:t>
      </w:r>
      <w:r w:rsidR="0080725E" w:rsidRPr="0067008A">
        <w:rPr>
          <w:rFonts w:ascii="Times New Roman" w:hAnsi="Times New Roman" w:cs="Times New Roman"/>
          <w:b/>
          <w:bCs/>
          <w:szCs w:val="22"/>
          <w:highlight w:val="white"/>
        </w:rPr>
        <w:t>.-</w:t>
      </w:r>
      <w:r w:rsidRPr="0067008A">
        <w:rPr>
          <w:rFonts w:ascii="Times New Roman" w:hAnsi="Times New Roman" w:cs="Times New Roman"/>
          <w:szCs w:val="22"/>
          <w:highlight w:val="white"/>
        </w:rPr>
        <w:t xml:space="preserve"> </w:t>
      </w:r>
      <w:r w:rsidR="00921711" w:rsidRPr="0067008A">
        <w:rPr>
          <w:rFonts w:ascii="Times New Roman" w:hAnsi="Times New Roman" w:cs="Times New Roman"/>
          <w:szCs w:val="22"/>
          <w:highlight w:val="white"/>
        </w:rPr>
        <w:t>Las asambleístas y los asambleístas ejercerán una función pública al servicio del país, actuarán con sentido nacional, serán responsables políticamente ante la sociedad de sus acciones u omisiones en el cumplimiento de sus deberes y atribuciones, y estarán obligados a rendir cuentas a sus mandantes.</w:t>
      </w:r>
    </w:p>
    <w:p w:rsidR="006A4D59" w:rsidRPr="0067008A" w:rsidRDefault="00A715B1" w:rsidP="00677E33">
      <w:pPr>
        <w:pStyle w:val="Cuerpo"/>
        <w:spacing w:after="240"/>
        <w:rPr>
          <w:rFonts w:ascii="Times New Roman" w:hAnsi="Times New Roman" w:cs="Times New Roman"/>
          <w:szCs w:val="22"/>
          <w:highlight w:val="white"/>
        </w:rPr>
      </w:pPr>
      <w:r w:rsidRPr="0067008A">
        <w:rPr>
          <w:rFonts w:ascii="Times New Roman" w:hAnsi="Times New Roman" w:cs="Times New Roman"/>
          <w:b/>
          <w:bCs/>
          <w:szCs w:val="22"/>
          <w:highlight w:val="white"/>
        </w:rPr>
        <w:t>A</w:t>
      </w:r>
      <w:r w:rsidR="00921711" w:rsidRPr="0067008A">
        <w:rPr>
          <w:rFonts w:ascii="Times New Roman" w:hAnsi="Times New Roman" w:cs="Times New Roman"/>
          <w:b/>
          <w:bCs/>
          <w:szCs w:val="22"/>
          <w:highlight w:val="white"/>
        </w:rPr>
        <w:t>rtículo 226</w:t>
      </w:r>
      <w:r w:rsidR="0080725E" w:rsidRPr="0067008A">
        <w:rPr>
          <w:rFonts w:ascii="Times New Roman" w:hAnsi="Times New Roman" w:cs="Times New Roman"/>
          <w:b/>
          <w:bCs/>
          <w:szCs w:val="22"/>
          <w:highlight w:val="white"/>
        </w:rPr>
        <w:t>.-</w:t>
      </w:r>
      <w:r w:rsidR="0080725E" w:rsidRPr="0067008A">
        <w:rPr>
          <w:rFonts w:ascii="Times New Roman" w:hAnsi="Times New Roman" w:cs="Times New Roman"/>
          <w:szCs w:val="22"/>
          <w:highlight w:val="white"/>
        </w:rPr>
        <w:t xml:space="preserve"> </w:t>
      </w:r>
      <w:r w:rsidR="00921711" w:rsidRPr="0067008A">
        <w:rPr>
          <w:rFonts w:ascii="Times New Roman" w:hAnsi="Times New Roman" w:cs="Times New Roman"/>
          <w:szCs w:val="22"/>
          <w:highlight w:val="white"/>
        </w:rPr>
        <w:t>Las instituciones del Estado, organismos, dependencias, las servidoras o servidores públicos y las personas que actúen en virtud de una potestad estatal ejercerán solamente las competencias y facultades que les sean atribuidas en la Constitución y la ley. Tendrán el deber de coordinar acciones para el cumplimiento de sus fines y hacer efectivo el goce y ejercicio de los derechos reconocidos en la Constitución.</w:t>
      </w:r>
    </w:p>
    <w:p w:rsidR="00DA756C" w:rsidRPr="0067008A" w:rsidRDefault="00DA756C" w:rsidP="00677E33">
      <w:pPr>
        <w:pStyle w:val="Cuerpo"/>
        <w:spacing w:after="240"/>
        <w:rPr>
          <w:rFonts w:ascii="Times New Roman" w:hAnsi="Times New Roman" w:cs="Times New Roman"/>
          <w:b/>
          <w:bCs/>
          <w:szCs w:val="22"/>
          <w:highlight w:val="white"/>
        </w:rPr>
      </w:pPr>
      <w:r w:rsidRPr="0067008A">
        <w:rPr>
          <w:rFonts w:ascii="Times New Roman" w:hAnsi="Times New Roman" w:cs="Times New Roman"/>
          <w:b/>
          <w:bCs/>
          <w:szCs w:val="22"/>
          <w:highlight w:val="white"/>
        </w:rPr>
        <w:t>Ley Orgánica de la Función Legislativa</w:t>
      </w:r>
    </w:p>
    <w:p w:rsidR="006A4D59" w:rsidRPr="0067008A" w:rsidRDefault="00DA756C" w:rsidP="00677E33">
      <w:pPr>
        <w:pStyle w:val="Cuerpo"/>
        <w:spacing w:after="240"/>
        <w:rPr>
          <w:rFonts w:ascii="Times New Roman" w:hAnsi="Times New Roman" w:cs="Times New Roman"/>
          <w:szCs w:val="22"/>
        </w:rPr>
      </w:pPr>
      <w:r w:rsidRPr="0067008A">
        <w:rPr>
          <w:rFonts w:ascii="Times New Roman" w:hAnsi="Times New Roman" w:cs="Times New Roman"/>
          <w:b/>
          <w:bCs/>
          <w:szCs w:val="22"/>
          <w:highlight w:val="white"/>
        </w:rPr>
        <w:t>A</w:t>
      </w:r>
      <w:r w:rsidR="00921711" w:rsidRPr="0067008A">
        <w:rPr>
          <w:rFonts w:ascii="Times New Roman" w:hAnsi="Times New Roman" w:cs="Times New Roman"/>
          <w:b/>
          <w:bCs/>
          <w:szCs w:val="22"/>
          <w:highlight w:val="white"/>
        </w:rPr>
        <w:t xml:space="preserve">rtículo 7, </w:t>
      </w:r>
      <w:r w:rsidRPr="0067008A">
        <w:rPr>
          <w:rFonts w:ascii="Times New Roman" w:hAnsi="Times New Roman" w:cs="Times New Roman"/>
          <w:b/>
          <w:bCs/>
          <w:szCs w:val="22"/>
          <w:highlight w:val="white"/>
        </w:rPr>
        <w:t>numeral 1</w:t>
      </w:r>
      <w:r w:rsidR="0080725E" w:rsidRPr="0067008A">
        <w:rPr>
          <w:rFonts w:ascii="Times New Roman" w:hAnsi="Times New Roman" w:cs="Times New Roman"/>
          <w:b/>
          <w:bCs/>
          <w:szCs w:val="22"/>
          <w:highlight w:val="white"/>
        </w:rPr>
        <w:t>.-</w:t>
      </w:r>
      <w:r w:rsidR="0080725E" w:rsidRPr="0067008A">
        <w:rPr>
          <w:rFonts w:ascii="Times New Roman" w:hAnsi="Times New Roman" w:cs="Times New Roman"/>
          <w:szCs w:val="22"/>
          <w:highlight w:val="white"/>
        </w:rPr>
        <w:t xml:space="preserve"> </w:t>
      </w:r>
      <w:r w:rsidR="00921711" w:rsidRPr="0067008A">
        <w:rPr>
          <w:rFonts w:ascii="Times New Roman" w:hAnsi="Times New Roman" w:cs="Times New Roman"/>
          <w:szCs w:val="22"/>
          <w:highlight w:val="white"/>
        </w:rPr>
        <w:t xml:space="preserve">El Pleno es el máximo órgano de decisión de la Asamblea Nacional. Estará integrado por la totalidad de las y los asambleístas.”; y en su artículo 9, numeral 9, expresa que entre las funciones y atribuciones de la Asamblea Nacional está la de </w:t>
      </w:r>
      <w:r w:rsidR="00677E33" w:rsidRPr="0067008A">
        <w:rPr>
          <w:rFonts w:ascii="Times New Roman" w:hAnsi="Times New Roman" w:cs="Times New Roman"/>
          <w:szCs w:val="22"/>
          <w:highlight w:val="white"/>
        </w:rPr>
        <w:t>“</w:t>
      </w:r>
      <w:r w:rsidR="00921711" w:rsidRPr="0067008A">
        <w:rPr>
          <w:rFonts w:ascii="Times New Roman" w:hAnsi="Times New Roman" w:cs="Times New Roman"/>
          <w:szCs w:val="22"/>
          <w:highlight w:val="white"/>
        </w:rPr>
        <w:t>Fiscalizar los actos de las funciones Ejecutiva, Electoral y de Transparencia y Control Social y los otros órganos del poder público.</w:t>
      </w:r>
    </w:p>
    <w:p w:rsidR="006A4D59" w:rsidRPr="0067008A" w:rsidRDefault="00DA756C" w:rsidP="00677E33">
      <w:pPr>
        <w:pStyle w:val="Cuerpo"/>
        <w:spacing w:after="240"/>
        <w:rPr>
          <w:rFonts w:ascii="Times New Roman" w:hAnsi="Times New Roman" w:cs="Times New Roman"/>
          <w:iCs/>
          <w:szCs w:val="22"/>
        </w:rPr>
      </w:pPr>
      <w:r w:rsidRPr="0067008A">
        <w:rPr>
          <w:rFonts w:ascii="Times New Roman" w:hAnsi="Times New Roman" w:cs="Times New Roman"/>
          <w:b/>
          <w:bCs/>
          <w:szCs w:val="22"/>
          <w:highlight w:val="white"/>
        </w:rPr>
        <w:t>Artículo</w:t>
      </w:r>
      <w:r w:rsidR="00921711" w:rsidRPr="0067008A">
        <w:rPr>
          <w:rFonts w:ascii="Times New Roman" w:hAnsi="Times New Roman" w:cs="Times New Roman"/>
          <w:b/>
          <w:bCs/>
          <w:szCs w:val="22"/>
          <w:highlight w:val="white"/>
        </w:rPr>
        <w:t xml:space="preserve"> 26, numeral 3</w:t>
      </w:r>
      <w:r w:rsidR="0080725E" w:rsidRPr="0067008A">
        <w:rPr>
          <w:rFonts w:ascii="Times New Roman" w:hAnsi="Times New Roman" w:cs="Times New Roman"/>
          <w:b/>
          <w:bCs/>
          <w:szCs w:val="22"/>
          <w:highlight w:val="white"/>
        </w:rPr>
        <w:t xml:space="preserve"> </w:t>
      </w:r>
      <w:r w:rsidRPr="0067008A">
        <w:rPr>
          <w:rFonts w:ascii="Times New Roman" w:hAnsi="Times New Roman" w:cs="Times New Roman"/>
          <w:b/>
          <w:bCs/>
          <w:szCs w:val="22"/>
          <w:highlight w:val="white"/>
        </w:rPr>
        <w:t xml:space="preserve">determina como funciones de las </w:t>
      </w:r>
      <w:r w:rsidR="00921711" w:rsidRPr="0067008A">
        <w:rPr>
          <w:rFonts w:ascii="Times New Roman" w:hAnsi="Times New Roman" w:cs="Times New Roman"/>
          <w:b/>
          <w:bCs/>
          <w:szCs w:val="22"/>
          <w:highlight w:val="white"/>
        </w:rPr>
        <w:t>comisiones especializadas permanentes</w:t>
      </w:r>
      <w:r w:rsidRPr="0067008A">
        <w:rPr>
          <w:rFonts w:ascii="Times New Roman" w:hAnsi="Times New Roman" w:cs="Times New Roman"/>
          <w:b/>
          <w:bCs/>
          <w:szCs w:val="22"/>
          <w:highlight w:val="white"/>
        </w:rPr>
        <w:t xml:space="preserve">, las </w:t>
      </w:r>
      <w:r w:rsidR="0080725E" w:rsidRPr="0067008A">
        <w:rPr>
          <w:rFonts w:ascii="Times New Roman" w:hAnsi="Times New Roman" w:cs="Times New Roman"/>
          <w:b/>
          <w:bCs/>
          <w:szCs w:val="22"/>
          <w:highlight w:val="white"/>
        </w:rPr>
        <w:t>siguientes. -</w:t>
      </w:r>
      <w:r w:rsidR="00921711" w:rsidRPr="0067008A">
        <w:rPr>
          <w:rFonts w:ascii="Times New Roman" w:hAnsi="Times New Roman" w:cs="Times New Roman"/>
          <w:szCs w:val="22"/>
          <w:highlight w:val="white"/>
        </w:rPr>
        <w:t xml:space="preserve"> </w:t>
      </w:r>
      <w:r w:rsidR="00921711" w:rsidRPr="0067008A">
        <w:rPr>
          <w:rFonts w:ascii="Times New Roman" w:hAnsi="Times New Roman" w:cs="Times New Roman"/>
          <w:iCs/>
          <w:szCs w:val="22"/>
          <w:highlight w:val="white"/>
        </w:rPr>
        <w:t>Recibir, analizar, procesar y tramitar las peticiones de fiscalización y control político a las funciones Ejecutiva, Electoral y de Transparencia y Control Social, y a los otros órganos del poder público, y requerir a las servidoras y servidores públicos su comparecencia y/o la información que consideren necesaria, bajo criterios de especialidad y prevalencia legislativa. Cuando una comisión legislativa prevenga el conocimiento de un proceso de fiscalización y control político ninguna otra comisión podrá requerir la comparecencia de autoridades o servidores sobre la misma materia o asunto.</w:t>
      </w:r>
    </w:p>
    <w:p w:rsidR="006A4D59" w:rsidRPr="0067008A" w:rsidRDefault="00DA756C" w:rsidP="00677E33">
      <w:pPr>
        <w:pStyle w:val="Cuerpo"/>
        <w:spacing w:after="240"/>
        <w:rPr>
          <w:rFonts w:ascii="Times New Roman" w:hAnsi="Times New Roman" w:cs="Times New Roman"/>
          <w:szCs w:val="22"/>
        </w:rPr>
      </w:pPr>
      <w:r w:rsidRPr="0067008A">
        <w:rPr>
          <w:rFonts w:ascii="Times New Roman" w:hAnsi="Times New Roman" w:cs="Times New Roman"/>
          <w:b/>
          <w:bCs/>
          <w:szCs w:val="22"/>
          <w:highlight w:val="white"/>
        </w:rPr>
        <w:t>A</w:t>
      </w:r>
      <w:r w:rsidR="00921711" w:rsidRPr="0067008A">
        <w:rPr>
          <w:rFonts w:ascii="Times New Roman" w:hAnsi="Times New Roman" w:cs="Times New Roman"/>
          <w:b/>
          <w:bCs/>
          <w:szCs w:val="22"/>
          <w:highlight w:val="white"/>
        </w:rPr>
        <w:t>rtículo 77</w:t>
      </w:r>
      <w:r w:rsidR="0080725E" w:rsidRPr="0067008A">
        <w:rPr>
          <w:rFonts w:ascii="Times New Roman" w:hAnsi="Times New Roman" w:cs="Times New Roman"/>
          <w:b/>
          <w:bCs/>
          <w:szCs w:val="22"/>
          <w:highlight w:val="white"/>
        </w:rPr>
        <w:t>.-</w:t>
      </w:r>
      <w:r w:rsidRPr="0067008A">
        <w:rPr>
          <w:rFonts w:ascii="Times New Roman" w:hAnsi="Times New Roman" w:cs="Times New Roman"/>
          <w:szCs w:val="22"/>
          <w:highlight w:val="white"/>
        </w:rPr>
        <w:t xml:space="preserve"> S</w:t>
      </w:r>
      <w:r w:rsidR="00921711" w:rsidRPr="0067008A">
        <w:rPr>
          <w:rFonts w:ascii="Times New Roman" w:hAnsi="Times New Roman" w:cs="Times New Roman"/>
          <w:szCs w:val="22"/>
          <w:highlight w:val="white"/>
        </w:rPr>
        <w:t>in perjuicio de lo previsto en esta Sección, el Pleno de la Asamblea Nacional o el Consejo de Administración Legislativa, podrá requerir a una de las comisiones especializadas, o a la Comisión de Fiscalización y Control Político, la investigación sobre la actuación de cualquier funcionaria o funcionario</w:t>
      </w:r>
      <w:r w:rsidR="00921711" w:rsidRPr="0067008A">
        <w:rPr>
          <w:rFonts w:ascii="Times New Roman" w:hAnsi="Times New Roman" w:cs="Times New Roman"/>
          <w:i/>
          <w:szCs w:val="22"/>
          <w:highlight w:val="white"/>
        </w:rPr>
        <w:t xml:space="preserve"> </w:t>
      </w:r>
      <w:r w:rsidR="00921711" w:rsidRPr="0067008A">
        <w:rPr>
          <w:rFonts w:ascii="Times New Roman" w:hAnsi="Times New Roman" w:cs="Times New Roman"/>
          <w:iCs/>
          <w:szCs w:val="22"/>
          <w:highlight w:val="white"/>
        </w:rPr>
        <w:t>público de las distintas funciones del Estado o sobre actos de interés ciudadano que hayan generado conmoción social o crisis política.</w:t>
      </w:r>
    </w:p>
    <w:p w:rsidR="006A4D59" w:rsidRPr="0067008A" w:rsidRDefault="00921711" w:rsidP="00677E33">
      <w:pPr>
        <w:pStyle w:val="Cuerpo"/>
        <w:spacing w:after="240"/>
        <w:rPr>
          <w:rFonts w:ascii="Times New Roman" w:hAnsi="Times New Roman" w:cs="Times New Roman"/>
          <w:color w:val="auto"/>
          <w:szCs w:val="22"/>
        </w:rPr>
      </w:pPr>
      <w:r w:rsidRPr="0067008A">
        <w:rPr>
          <w:rFonts w:ascii="Times New Roman" w:hAnsi="Times New Roman" w:cs="Times New Roman"/>
          <w:iCs/>
          <w:szCs w:val="22"/>
          <w:highlight w:val="white"/>
        </w:rPr>
        <w:t>La comisión encargada de la investigación tendrá un plazo no mayor a treinta días para la presentación del informe correspondiente que será puesto en conocimiento del Pleno de la Asamblea Nacional en el plazo máximo de treinta días. El informe de la comisión podrá incluir la recomendación de inicio del trámite de juicio político previsto en esta Ley, si de la investigación se determina posible incumplimiento de funcionarios sujetos a juicio político</w:t>
      </w:r>
      <w:r w:rsidR="00DA756C" w:rsidRPr="0067008A">
        <w:rPr>
          <w:rFonts w:ascii="Times New Roman" w:hAnsi="Times New Roman" w:cs="Times New Roman"/>
          <w:iCs/>
          <w:color w:val="auto"/>
          <w:szCs w:val="22"/>
        </w:rPr>
        <w:t>.</w:t>
      </w:r>
    </w:p>
    <w:p w:rsidR="00AA106B" w:rsidRPr="0067008A" w:rsidRDefault="00921711" w:rsidP="00677E33">
      <w:pPr>
        <w:pStyle w:val="Cuerpo"/>
        <w:spacing w:after="240"/>
        <w:rPr>
          <w:rFonts w:ascii="Times New Roman" w:hAnsi="Times New Roman" w:cs="Times New Roman"/>
          <w:b/>
          <w:bCs/>
          <w:szCs w:val="22"/>
        </w:rPr>
      </w:pPr>
      <w:r w:rsidRPr="0067008A">
        <w:rPr>
          <w:rFonts w:ascii="Times New Roman" w:hAnsi="Times New Roman" w:cs="Times New Roman"/>
          <w:b/>
          <w:bCs/>
          <w:szCs w:val="22"/>
        </w:rPr>
        <w:t xml:space="preserve">Ley Orgánica para la Aplicación de la Consulta Popular Efectuada el 19 de Febrero de 2017 </w:t>
      </w:r>
    </w:p>
    <w:p w:rsidR="006A4D59" w:rsidRPr="0067008A" w:rsidRDefault="00AA106B" w:rsidP="00677E33">
      <w:pPr>
        <w:pStyle w:val="Cuerpo"/>
        <w:spacing w:after="240"/>
        <w:rPr>
          <w:rFonts w:ascii="Times New Roman" w:hAnsi="Times New Roman" w:cs="Times New Roman"/>
          <w:i/>
          <w:szCs w:val="22"/>
        </w:rPr>
      </w:pPr>
      <w:r w:rsidRPr="0067008A">
        <w:rPr>
          <w:rFonts w:ascii="Times New Roman" w:hAnsi="Times New Roman" w:cs="Times New Roman"/>
          <w:b/>
          <w:bCs/>
          <w:szCs w:val="22"/>
        </w:rPr>
        <w:t>A</w:t>
      </w:r>
      <w:r w:rsidR="00921711" w:rsidRPr="0067008A">
        <w:rPr>
          <w:rFonts w:ascii="Times New Roman" w:hAnsi="Times New Roman" w:cs="Times New Roman"/>
          <w:b/>
          <w:bCs/>
          <w:szCs w:val="22"/>
        </w:rPr>
        <w:t>rtículo 4</w:t>
      </w:r>
      <w:r w:rsidR="0080725E" w:rsidRPr="0067008A">
        <w:rPr>
          <w:rFonts w:ascii="Times New Roman" w:hAnsi="Times New Roman" w:cs="Times New Roman"/>
          <w:b/>
          <w:bCs/>
          <w:szCs w:val="22"/>
        </w:rPr>
        <w:t>.-</w:t>
      </w:r>
      <w:r w:rsidRPr="0067008A">
        <w:rPr>
          <w:rFonts w:ascii="Times New Roman" w:hAnsi="Times New Roman" w:cs="Times New Roman"/>
          <w:szCs w:val="22"/>
        </w:rPr>
        <w:t xml:space="preserve"> L</w:t>
      </w:r>
      <w:r w:rsidR="00921711" w:rsidRPr="0067008A">
        <w:rPr>
          <w:rFonts w:ascii="Times New Roman" w:hAnsi="Times New Roman" w:cs="Times New Roman"/>
          <w:i/>
          <w:szCs w:val="22"/>
        </w:rPr>
        <w:t>as personas señaladas en el artículo 1 de esta Ley no podrán ser propietarios directos o indirectos de bienes o capitales, de cualquier naturaleza, en jurisdicciones o regímenes considerados como paraísos fiscales.</w:t>
      </w:r>
    </w:p>
    <w:p w:rsidR="006A4D59" w:rsidRPr="0067008A" w:rsidRDefault="005877A2" w:rsidP="001B577F">
      <w:pPr>
        <w:pStyle w:val="Prrafodelista"/>
        <w:numPr>
          <w:ilvl w:val="0"/>
          <w:numId w:val="15"/>
        </w:numPr>
        <w:spacing w:after="240" w:line="360" w:lineRule="auto"/>
        <w:jc w:val="both"/>
        <w:rPr>
          <w:rStyle w:val="ListLabel1"/>
          <w:rFonts w:ascii="Times New Roman" w:hAnsi="Times New Roman"/>
        </w:rPr>
      </w:pPr>
      <w:r w:rsidRPr="0067008A">
        <w:rPr>
          <w:rStyle w:val="ListLabel1"/>
          <w:rFonts w:ascii="Times New Roman" w:hAnsi="Times New Roman"/>
        </w:rPr>
        <w:t>OBJETO DEL INFORME</w:t>
      </w:r>
    </w:p>
    <w:p w:rsidR="005877A2" w:rsidRPr="0067008A" w:rsidRDefault="005877A2" w:rsidP="005877A2">
      <w:pPr>
        <w:spacing w:after="240" w:line="360" w:lineRule="auto"/>
        <w:jc w:val="both"/>
        <w:rPr>
          <w:rStyle w:val="ListLabel1"/>
          <w:rFonts w:ascii="Times New Roman" w:hAnsi="Times New Roman" w:cs="Times New Roman"/>
        </w:rPr>
      </w:pPr>
      <w:r w:rsidRPr="0067008A">
        <w:rPr>
          <w:rStyle w:val="ListLabel1"/>
          <w:rFonts w:ascii="Times New Roman" w:hAnsi="Times New Roman" w:cs="Times New Roman"/>
        </w:rPr>
        <w:t xml:space="preserve">Objetivos Generales </w:t>
      </w:r>
    </w:p>
    <w:p w:rsidR="006A4D59" w:rsidRPr="0067008A" w:rsidRDefault="00921711" w:rsidP="00677E33">
      <w:pPr>
        <w:pStyle w:val="Cuerpo"/>
        <w:rPr>
          <w:rFonts w:ascii="Times New Roman" w:hAnsi="Times New Roman" w:cs="Times New Roman"/>
        </w:rPr>
      </w:pPr>
      <w:r w:rsidRPr="0067008A">
        <w:rPr>
          <w:rFonts w:ascii="Times New Roman" w:hAnsi="Times New Roman" w:cs="Times New Roman"/>
        </w:rPr>
        <w:t xml:space="preserve">La Resolución de la Asamblea Nacional </w:t>
      </w:r>
      <w:bookmarkStart w:id="0" w:name="docs-internal-guid-5064fd2f-7fff-4cc3-98"/>
      <w:bookmarkEnd w:id="0"/>
      <w:r w:rsidRPr="0067008A">
        <w:rPr>
          <w:rFonts w:ascii="Times New Roman" w:hAnsi="Times New Roman" w:cs="Times New Roman"/>
        </w:rPr>
        <w:t>RL-2021-2023-032, debatida y aprobada el 7 de octubre de 2021, en la Sesión 730 del Pleno de la Asamblea Nacional establece en su artículo 1</w:t>
      </w:r>
      <w:r w:rsidR="00C011F4" w:rsidRPr="0067008A">
        <w:rPr>
          <w:rFonts w:ascii="Times New Roman" w:hAnsi="Times New Roman" w:cs="Times New Roman"/>
        </w:rPr>
        <w:t>, lo siguiente</w:t>
      </w:r>
      <w:r w:rsidRPr="0067008A">
        <w:rPr>
          <w:rFonts w:ascii="Times New Roman" w:hAnsi="Times New Roman" w:cs="Times New Roman"/>
        </w:rPr>
        <w:t xml:space="preserve">: </w:t>
      </w:r>
      <w:bookmarkStart w:id="1" w:name="docs-internal-guid-015c8007-7fff-6653-60"/>
      <w:bookmarkEnd w:id="1"/>
      <w:r w:rsidRPr="0067008A">
        <w:rPr>
          <w:rFonts w:ascii="Times New Roman" w:hAnsi="Times New Roman" w:cs="Times New Roman"/>
          <w:i/>
          <w:iCs/>
        </w:rPr>
        <w:t>“Requerir a la Comisión Especializada Permanente de Garantías Constitucionales, Derechos Humanos, Derechos Colectivos y la Interculturalidad, efectúe la investigación correspondiente del caso denominado "PANDORA PAPERS", por ser un hecho de gran interés ciudadano que ha generado seria conmoción social; y, en cumplimiento de su temática y funciones determinadas en la Ley Orgánica de la Función Legislativa, solicite las comparecencias y formule los pedidos de información que consideren necesarios, bajo criterios de especialidad y prevalencia legislativa, con el fin esclarecer la vinculación del Presidente de la República, Guillermo Lasso Mendoza, dentro de la investigación periodística divulgada, relacionada con el uso de empresas fantasma en paraísos fiscales y los fines de las mismas.”</w:t>
      </w:r>
    </w:p>
    <w:p w:rsidR="006A4D59" w:rsidRPr="0067008A" w:rsidRDefault="00921711" w:rsidP="00677E33">
      <w:pPr>
        <w:pStyle w:val="Cuerpo"/>
        <w:rPr>
          <w:rFonts w:ascii="Times New Roman" w:hAnsi="Times New Roman" w:cs="Times New Roman"/>
        </w:rPr>
      </w:pPr>
      <w:r w:rsidRPr="0067008A">
        <w:rPr>
          <w:rFonts w:ascii="Times New Roman" w:hAnsi="Times New Roman" w:cs="Times New Roman"/>
        </w:rPr>
        <w:t>De esta disposición se identifica dos objetivos generales. El primero</w:t>
      </w:r>
      <w:r w:rsidR="00B41BAE" w:rsidRPr="0067008A">
        <w:rPr>
          <w:rFonts w:ascii="Times New Roman" w:hAnsi="Times New Roman" w:cs="Times New Roman"/>
        </w:rPr>
        <w:t>:</w:t>
      </w:r>
      <w:r w:rsidRPr="0067008A">
        <w:rPr>
          <w:rFonts w:ascii="Times New Roman" w:hAnsi="Times New Roman" w:cs="Times New Roman"/>
        </w:rPr>
        <w:t xml:space="preserve"> realizar una investigación correspondiente del caso denominado "PANDORA PAPERS", por ser un hecho de gran interés ciudadano que ha generado seria conmoción social. </w:t>
      </w:r>
      <w:r w:rsidR="00B41BAE" w:rsidRPr="0067008A">
        <w:rPr>
          <w:rFonts w:ascii="Times New Roman" w:hAnsi="Times New Roman" w:cs="Times New Roman"/>
        </w:rPr>
        <w:t>El segundo:</w:t>
      </w:r>
      <w:r w:rsidRPr="0067008A">
        <w:rPr>
          <w:rFonts w:ascii="Times New Roman" w:hAnsi="Times New Roman" w:cs="Times New Roman"/>
        </w:rPr>
        <w:t xml:space="preserve"> solicitar las comparecencias y formular los pedidos de información que consideren necesarios, bajo criterios de especialidad y prevalencia legislativa, con el fin esclarecer la vinculación del Presidente de la República, Guillermo Lasso Mendoza, dentro de la investigación periodística divulgada, relacionada con el uso de empresas fantasma en paraísos fiscales y los fines de las mismas.</w:t>
      </w:r>
    </w:p>
    <w:p w:rsidR="00B41BAE" w:rsidRPr="0067008A" w:rsidRDefault="00B41BAE" w:rsidP="00677E33">
      <w:pPr>
        <w:pStyle w:val="Cuerpo"/>
        <w:rPr>
          <w:rFonts w:ascii="Times New Roman" w:hAnsi="Times New Roman" w:cs="Times New Roman"/>
        </w:rPr>
      </w:pPr>
    </w:p>
    <w:p w:rsidR="006A4D59" w:rsidRPr="0067008A" w:rsidRDefault="00921711" w:rsidP="00677E33">
      <w:pPr>
        <w:pStyle w:val="Cuerpo"/>
        <w:rPr>
          <w:rFonts w:ascii="Times New Roman" w:hAnsi="Times New Roman" w:cs="Times New Roman"/>
        </w:rPr>
      </w:pPr>
      <w:r w:rsidRPr="0067008A">
        <w:rPr>
          <w:rFonts w:ascii="Times New Roman" w:hAnsi="Times New Roman" w:cs="Times New Roman"/>
        </w:rPr>
        <w:t>Las disposiciones de la RL-2021-2023-032</w:t>
      </w:r>
      <w:r w:rsidR="003D5750" w:rsidRPr="0067008A">
        <w:rPr>
          <w:rFonts w:ascii="Times New Roman" w:hAnsi="Times New Roman" w:cs="Times New Roman"/>
        </w:rPr>
        <w:t xml:space="preserve"> </w:t>
      </w:r>
      <w:r w:rsidRPr="0067008A">
        <w:rPr>
          <w:rFonts w:ascii="Times New Roman" w:hAnsi="Times New Roman" w:cs="Times New Roman"/>
        </w:rPr>
        <w:t xml:space="preserve">se complementan con lo dispuesto en el artículo 2 de dicha Resolución que dispone: </w:t>
      </w:r>
      <w:r w:rsidR="005877A2" w:rsidRPr="0067008A">
        <w:rPr>
          <w:rFonts w:ascii="Times New Roman" w:hAnsi="Times New Roman" w:cs="Times New Roman"/>
        </w:rPr>
        <w:t>una vez concluida</w:t>
      </w:r>
      <w:r w:rsidRPr="0067008A">
        <w:rPr>
          <w:rFonts w:ascii="Times New Roman" w:hAnsi="Times New Roman" w:cs="Times New Roman"/>
        </w:rPr>
        <w:t xml:space="preserve"> la investigación dispuesta en el artículo 1, así como el periodo de comparecencia y pedidos de información pertinentes, se elabore un informe pormenorizado, con sus respectivas recomendaciones, para que el mismo sea conocido y debatido ante el Pleno de la Asamblea Nacional.</w:t>
      </w:r>
      <w:r w:rsidR="003D5750" w:rsidRPr="0067008A">
        <w:rPr>
          <w:rFonts w:ascii="Times New Roman" w:hAnsi="Times New Roman" w:cs="Times New Roman"/>
        </w:rPr>
        <w:t xml:space="preserve"> </w:t>
      </w:r>
    </w:p>
    <w:p w:rsidR="00677E33" w:rsidRPr="0067008A" w:rsidRDefault="00677E33" w:rsidP="00677E33">
      <w:pPr>
        <w:pStyle w:val="Cuerpo"/>
        <w:rPr>
          <w:rFonts w:ascii="Times New Roman" w:hAnsi="Times New Roman" w:cs="Times New Roman"/>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color w:val="000000"/>
          <w:lang w:val="es-EC"/>
        </w:rPr>
        <w:t xml:space="preserve">Esta investigación se realizó, conforme lo dispone la RL-2021-2023-032, del Pleno de la Asamblea Nacional, y de acuerdo a las disposiciones referidas en la Ley Orgánica de la Función Legislativa a través de la convocatoria a comparecencias y formulación de </w:t>
      </w:r>
      <w:r w:rsidRPr="0067008A">
        <w:rPr>
          <w:rFonts w:ascii="Times New Roman" w:hAnsi="Times New Roman" w:cs="Times New Roman"/>
          <w:i/>
          <w:iCs/>
          <w:color w:val="000000"/>
          <w:lang w:val="es-EC"/>
        </w:rPr>
        <w:t>pedidos de información, bajo criterios de especialidad y prevalencia legislativa</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b/>
          <w:bCs/>
          <w:lang w:val="es-EC"/>
        </w:rPr>
        <w:t>O</w:t>
      </w:r>
      <w:r w:rsidR="008C15A9" w:rsidRPr="0067008A">
        <w:rPr>
          <w:rFonts w:ascii="Times New Roman" w:hAnsi="Times New Roman" w:cs="Times New Roman"/>
          <w:b/>
          <w:bCs/>
          <w:lang w:val="es-EC"/>
        </w:rPr>
        <w:t>bjetivos Específicos</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lang w:val="es-EC"/>
        </w:rPr>
        <w:t>De esto se establece como Objetivos específicos:</w:t>
      </w:r>
    </w:p>
    <w:p w:rsidR="006A4D59" w:rsidRPr="0067008A" w:rsidRDefault="00921711" w:rsidP="00FB6973">
      <w:pPr>
        <w:numPr>
          <w:ilvl w:val="0"/>
          <w:numId w:val="1"/>
        </w:numPr>
        <w:spacing w:after="240" w:line="360" w:lineRule="auto"/>
        <w:ind w:left="1440" w:hanging="1080"/>
        <w:jc w:val="both"/>
        <w:rPr>
          <w:rFonts w:ascii="Times New Roman" w:hAnsi="Times New Roman" w:cs="Times New Roman"/>
        </w:rPr>
      </w:pPr>
      <w:r w:rsidRPr="0067008A">
        <w:rPr>
          <w:rFonts w:ascii="Times New Roman" w:hAnsi="Times New Roman" w:cs="Times New Roman"/>
          <w:lang w:val="es-EC"/>
        </w:rPr>
        <w:t>Recolectar los datos que contribuyan al análisis del caso a través de</w:t>
      </w:r>
      <w:r w:rsidR="005877A2" w:rsidRPr="0067008A">
        <w:rPr>
          <w:rFonts w:ascii="Times New Roman" w:hAnsi="Times New Roman" w:cs="Times New Roman"/>
          <w:lang w:val="es-EC"/>
        </w:rPr>
        <w:t xml:space="preserve"> los</w:t>
      </w:r>
      <w:r w:rsidRPr="0067008A">
        <w:rPr>
          <w:rFonts w:ascii="Times New Roman" w:hAnsi="Times New Roman" w:cs="Times New Roman"/>
          <w:lang w:val="es-EC"/>
        </w:rPr>
        <w:t xml:space="preserve"> reque</w:t>
      </w:r>
      <w:r w:rsidR="005877A2" w:rsidRPr="0067008A">
        <w:rPr>
          <w:rFonts w:ascii="Times New Roman" w:hAnsi="Times New Roman" w:cs="Times New Roman"/>
          <w:lang w:val="es-EC"/>
        </w:rPr>
        <w:t>rimientos efectuados</w:t>
      </w:r>
      <w:r w:rsidRPr="0067008A">
        <w:rPr>
          <w:rFonts w:ascii="Times New Roman" w:hAnsi="Times New Roman" w:cs="Times New Roman"/>
          <w:lang w:val="es-EC"/>
        </w:rPr>
        <w:t xml:space="preserve"> a los órganos de contro</w:t>
      </w:r>
      <w:r w:rsidR="005877A2" w:rsidRPr="0067008A">
        <w:rPr>
          <w:rFonts w:ascii="Times New Roman" w:hAnsi="Times New Roman" w:cs="Times New Roman"/>
          <w:lang w:val="es-EC"/>
        </w:rPr>
        <w:t>l, instituciones públicas, expertos y todas las personas que pudieran brindar información correspondiente. La información se obtiene</w:t>
      </w:r>
      <w:r w:rsidRPr="0067008A">
        <w:rPr>
          <w:rFonts w:ascii="Times New Roman" w:hAnsi="Times New Roman" w:cs="Times New Roman"/>
          <w:lang w:val="es-EC"/>
        </w:rPr>
        <w:t xml:space="preserve"> por medio de solicitud</w:t>
      </w:r>
      <w:r w:rsidR="005877A2" w:rsidRPr="0067008A">
        <w:rPr>
          <w:rFonts w:ascii="Times New Roman" w:hAnsi="Times New Roman" w:cs="Times New Roman"/>
          <w:lang w:val="es-EC"/>
        </w:rPr>
        <w:t>es</w:t>
      </w:r>
      <w:r w:rsidRPr="0067008A">
        <w:rPr>
          <w:rFonts w:ascii="Times New Roman" w:hAnsi="Times New Roman" w:cs="Times New Roman"/>
          <w:lang w:val="es-EC"/>
        </w:rPr>
        <w:t xml:space="preserve"> de información</w:t>
      </w:r>
      <w:r w:rsidR="005877A2" w:rsidRPr="0067008A">
        <w:rPr>
          <w:rFonts w:ascii="Times New Roman" w:hAnsi="Times New Roman" w:cs="Times New Roman"/>
          <w:lang w:val="es-EC"/>
        </w:rPr>
        <w:t xml:space="preserve">, </w:t>
      </w:r>
      <w:r w:rsidRPr="0067008A">
        <w:rPr>
          <w:rFonts w:ascii="Times New Roman" w:hAnsi="Times New Roman" w:cs="Times New Roman"/>
          <w:lang w:val="es-EC"/>
        </w:rPr>
        <w:t xml:space="preserve">comparecencias </w:t>
      </w:r>
      <w:r w:rsidR="005877A2" w:rsidRPr="0067008A">
        <w:rPr>
          <w:rFonts w:ascii="Times New Roman" w:hAnsi="Times New Roman" w:cs="Times New Roman"/>
          <w:lang w:val="es-EC"/>
        </w:rPr>
        <w:t xml:space="preserve">y </w:t>
      </w:r>
      <w:r w:rsidR="00AB6904" w:rsidRPr="0067008A">
        <w:rPr>
          <w:rFonts w:ascii="Times New Roman" w:hAnsi="Times New Roman" w:cs="Times New Roman"/>
          <w:lang w:val="es-EC"/>
        </w:rPr>
        <w:t>comisiones</w:t>
      </w:r>
      <w:r w:rsidR="005877A2" w:rsidRPr="0067008A">
        <w:rPr>
          <w:rFonts w:ascii="Times New Roman" w:hAnsi="Times New Roman" w:cs="Times New Roman"/>
          <w:lang w:val="es-EC"/>
        </w:rPr>
        <w:t xml:space="preserve"> generales en las sesiones de la Comisión. </w:t>
      </w:r>
    </w:p>
    <w:p w:rsidR="006A4D59" w:rsidRPr="0067008A" w:rsidRDefault="00921711" w:rsidP="00677E33">
      <w:pPr>
        <w:numPr>
          <w:ilvl w:val="0"/>
          <w:numId w:val="1"/>
        </w:numPr>
        <w:spacing w:after="240" w:line="360" w:lineRule="auto"/>
        <w:jc w:val="both"/>
        <w:rPr>
          <w:rFonts w:ascii="Times New Roman" w:hAnsi="Times New Roman" w:cs="Times New Roman"/>
        </w:rPr>
      </w:pPr>
      <w:r w:rsidRPr="0067008A">
        <w:rPr>
          <w:rFonts w:ascii="Times New Roman" w:hAnsi="Times New Roman" w:cs="Times New Roman"/>
          <w:lang w:val="es-EC"/>
        </w:rPr>
        <w:t>Sistematizar la información en el marco de la verificación del cumplimiento de lo establecido por la Constitución y las leyes respectivas.</w:t>
      </w:r>
    </w:p>
    <w:p w:rsidR="006A4D59" w:rsidRPr="0067008A" w:rsidRDefault="00921711" w:rsidP="00AB6904">
      <w:pPr>
        <w:spacing w:after="240" w:line="360" w:lineRule="auto"/>
        <w:ind w:left="720"/>
        <w:jc w:val="both"/>
        <w:rPr>
          <w:rFonts w:ascii="Times New Roman" w:hAnsi="Times New Roman" w:cs="Times New Roman"/>
        </w:rPr>
      </w:pPr>
      <w:r w:rsidRPr="0067008A">
        <w:rPr>
          <w:rFonts w:ascii="Times New Roman" w:hAnsi="Times New Roman" w:cs="Times New Roman"/>
          <w:i/>
          <w:iCs/>
          <w:lang w:val="es-EC"/>
        </w:rPr>
        <w:t>Elaborar el respectivo informe, que deviene del análisis pormenorizado de la información obtenida en el transcurso del proceso de investigación, dentro de lo que dictamina la Constitución y las leyes pertinentes.</w:t>
      </w:r>
      <w:r w:rsidRPr="0067008A">
        <w:rPr>
          <w:rFonts w:ascii="Times New Roman" w:hAnsi="Times New Roman" w:cs="Times New Roman"/>
        </w:rPr>
        <w:t xml:space="preserve"> </w:t>
      </w:r>
    </w:p>
    <w:p w:rsidR="008C15A9" w:rsidRPr="0067008A" w:rsidRDefault="00FB6973" w:rsidP="008C15A9">
      <w:pPr>
        <w:pStyle w:val="Prrafodelista"/>
        <w:numPr>
          <w:ilvl w:val="0"/>
          <w:numId w:val="15"/>
        </w:numPr>
        <w:spacing w:after="240" w:line="360" w:lineRule="auto"/>
        <w:jc w:val="both"/>
        <w:rPr>
          <w:b/>
          <w:bCs/>
        </w:rPr>
      </w:pPr>
      <w:r w:rsidRPr="0067008A">
        <w:rPr>
          <w:b/>
          <w:bCs/>
        </w:rPr>
        <w:t xml:space="preserve">ASPECTOS RELEVANTES </w:t>
      </w:r>
    </w:p>
    <w:p w:rsidR="008C15A9" w:rsidRPr="0067008A" w:rsidRDefault="008C15A9" w:rsidP="008C15A9">
      <w:pPr>
        <w:pStyle w:val="Prrafodelista"/>
        <w:spacing w:after="240" w:line="360" w:lineRule="auto"/>
        <w:ind w:left="360"/>
        <w:jc w:val="both"/>
        <w:rPr>
          <w:b/>
          <w:bCs/>
        </w:rPr>
      </w:pPr>
    </w:p>
    <w:p w:rsidR="006A4D59" w:rsidRPr="0067008A" w:rsidRDefault="00921711" w:rsidP="008C15A9">
      <w:pPr>
        <w:pStyle w:val="Prrafodelista"/>
        <w:spacing w:after="240" w:line="360" w:lineRule="auto"/>
        <w:ind w:left="360"/>
        <w:jc w:val="both"/>
        <w:rPr>
          <w:b/>
          <w:bCs/>
        </w:rPr>
      </w:pPr>
      <w:r w:rsidRPr="0067008A">
        <w:rPr>
          <w:b/>
        </w:rPr>
        <w:t>El Debido Proceso y la Seguridad Jurídica</w:t>
      </w:r>
      <w:r w:rsidR="00677E33" w:rsidRPr="0067008A">
        <w:rPr>
          <w:b/>
        </w:rPr>
        <w:t xml:space="preserve"> </w:t>
      </w:r>
      <w:r w:rsidRPr="0067008A">
        <w:rPr>
          <w:b/>
        </w:rPr>
        <w:t>como Garantías Constitucionales</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La Constitución</w:t>
      </w:r>
      <w:r w:rsidR="00AB6904" w:rsidRPr="0067008A">
        <w:rPr>
          <w:rFonts w:ascii="Times New Roman" w:hAnsi="Times New Roman" w:cs="Times New Roman"/>
        </w:rPr>
        <w:t xml:space="preserve"> de la República del Ecuador</w:t>
      </w:r>
      <w:r w:rsidRPr="0067008A">
        <w:rPr>
          <w:rFonts w:ascii="Times New Roman" w:hAnsi="Times New Roman" w:cs="Times New Roman"/>
        </w:rPr>
        <w:t xml:space="preserve">, en </w:t>
      </w:r>
      <w:r w:rsidR="00AB6904" w:rsidRPr="0067008A">
        <w:rPr>
          <w:rFonts w:ascii="Times New Roman" w:hAnsi="Times New Roman" w:cs="Times New Roman"/>
        </w:rPr>
        <w:t>su</w:t>
      </w:r>
      <w:r w:rsidRPr="0067008A">
        <w:rPr>
          <w:rFonts w:ascii="Times New Roman" w:hAnsi="Times New Roman" w:cs="Times New Roman"/>
        </w:rPr>
        <w:t xml:space="preserve"> artículo 1, establece la naturaleza política del Ecuador como un Estado Constitucional de Derechos y Justicia, lo que implica la subordinación </w:t>
      </w:r>
      <w:r w:rsidR="00AB6904" w:rsidRPr="0067008A">
        <w:rPr>
          <w:rFonts w:ascii="Times New Roman" w:hAnsi="Times New Roman" w:cs="Times New Roman"/>
        </w:rPr>
        <w:t xml:space="preserve">de </w:t>
      </w:r>
      <w:r w:rsidRPr="0067008A">
        <w:rPr>
          <w:rFonts w:ascii="Times New Roman" w:hAnsi="Times New Roman" w:cs="Times New Roman"/>
        </w:rPr>
        <w:t>los poderes, públicos y privados, a la Constitución y los tratados internacionales de derechos humanos para cumplir con el fin último del Estado que es la realización de la Justicia.</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Según, Ferrajoli, una de las particularidades del Estado Constitucional</w:t>
      </w:r>
      <w:r w:rsidR="00AB6904" w:rsidRPr="0067008A">
        <w:rPr>
          <w:rFonts w:ascii="Times New Roman" w:hAnsi="Times New Roman" w:cs="Times New Roman"/>
        </w:rPr>
        <w:t xml:space="preserve"> </w:t>
      </w:r>
      <w:r w:rsidRPr="0067008A">
        <w:rPr>
          <w:rFonts w:ascii="Times New Roman" w:hAnsi="Times New Roman" w:cs="Times New Roman"/>
        </w:rPr>
        <w:t>radica en que éste contiene una estructura de derechos y garantías que permiten, de un lado, incorporar un catálogo de derechos, que son intrínsecos al ser humano, y de otro, generar mecanismos de exigibilidad de estos derechos ante las instancias jurisdiccionales, para tutelar la efectiva vigencia de los derechos humanos</w:t>
      </w:r>
      <w:r w:rsidRPr="0067008A">
        <w:rPr>
          <w:rStyle w:val="Ancladenotaalpie"/>
          <w:rFonts w:ascii="Times New Roman" w:hAnsi="Times New Roman" w:cs="Times New Roman"/>
        </w:rPr>
        <w:footnoteReference w:id="1"/>
      </w:r>
      <w:r w:rsidRPr="0067008A">
        <w:rPr>
          <w:rFonts w:ascii="Times New Roman" w:hAnsi="Times New Roman" w:cs="Times New Roman"/>
        </w:rPr>
        <w:t>.</w:t>
      </w:r>
    </w:p>
    <w:p w:rsidR="006A4D59" w:rsidRPr="0067008A" w:rsidRDefault="00921711" w:rsidP="00714301">
      <w:pPr>
        <w:spacing w:after="240" w:line="360" w:lineRule="auto"/>
        <w:jc w:val="both"/>
        <w:rPr>
          <w:rFonts w:ascii="Times New Roman" w:hAnsi="Times New Roman" w:cs="Times New Roman"/>
        </w:rPr>
      </w:pPr>
      <w:r w:rsidRPr="0067008A">
        <w:rPr>
          <w:rFonts w:ascii="Times New Roman" w:hAnsi="Times New Roman" w:cs="Times New Roman"/>
        </w:rPr>
        <w:t xml:space="preserve">En este sentido, el debido proceso se constituye en una garantía constitucional que permite que toda persona, que sea sometida a procesos </w:t>
      </w:r>
      <w:r w:rsidR="00AB6904" w:rsidRPr="0067008A">
        <w:rPr>
          <w:rFonts w:ascii="Times New Roman" w:hAnsi="Times New Roman" w:cs="Times New Roman"/>
        </w:rPr>
        <w:t>judiciales o procedimientos administrativos</w:t>
      </w:r>
      <w:r w:rsidRPr="0067008A">
        <w:rPr>
          <w:rFonts w:ascii="Times New Roman" w:hAnsi="Times New Roman" w:cs="Times New Roman"/>
        </w:rPr>
        <w:t xml:space="preserve">, se le permita ejercer su derecho a la defensa, sea juzgado por una autoridad competente, de conformidad con la ley, que exista una justa valoración de la prueba y que la decisión que se adopte sea conforme a norma previamente establecida. En este sentido, el artículo 76 de la Constitución determinen </w:t>
      </w:r>
      <w:r w:rsidR="00714301" w:rsidRPr="0067008A">
        <w:rPr>
          <w:rFonts w:ascii="Times New Roman" w:hAnsi="Times New Roman" w:cs="Times New Roman"/>
        </w:rPr>
        <w:t xml:space="preserve">que en todo proceso en el que se determinen </w:t>
      </w:r>
      <w:r w:rsidRPr="0067008A">
        <w:rPr>
          <w:rFonts w:ascii="Times New Roman" w:hAnsi="Times New Roman" w:cs="Times New Roman"/>
        </w:rPr>
        <w:t xml:space="preserve">derechos y obligaciones de cualquier orden, se asegurará el derecho al debido proceso </w:t>
      </w:r>
      <w:r w:rsidR="00714301" w:rsidRPr="0067008A">
        <w:rPr>
          <w:rFonts w:ascii="Times New Roman" w:hAnsi="Times New Roman" w:cs="Times New Roman"/>
        </w:rPr>
        <w:t xml:space="preserve">y enuncia las </w:t>
      </w:r>
      <w:r w:rsidRPr="0067008A">
        <w:rPr>
          <w:rFonts w:ascii="Times New Roman" w:hAnsi="Times New Roman" w:cs="Times New Roman"/>
        </w:rPr>
        <w:t>garantías básicas</w:t>
      </w:r>
      <w:r w:rsidR="00714301" w:rsidRPr="0067008A">
        <w:rPr>
          <w:rFonts w:ascii="Times New Roman" w:hAnsi="Times New Roman" w:cs="Times New Roman"/>
        </w:rPr>
        <w:t xml:space="preserve"> que deberán observarse en el mismo.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En referencia a la seguridad jurídica, </w:t>
      </w:r>
      <w:r w:rsidR="000F6567" w:rsidRPr="0067008A">
        <w:rPr>
          <w:rFonts w:ascii="Times New Roman" w:hAnsi="Times New Roman" w:cs="Times New Roman"/>
        </w:rPr>
        <w:t>el</w:t>
      </w:r>
      <w:r w:rsidRPr="0067008A">
        <w:rPr>
          <w:rFonts w:ascii="Times New Roman" w:hAnsi="Times New Roman" w:cs="Times New Roman"/>
        </w:rPr>
        <w:t xml:space="preserve"> artículo 82</w:t>
      </w:r>
      <w:r w:rsidR="000F6567" w:rsidRPr="0067008A">
        <w:rPr>
          <w:rFonts w:ascii="Times New Roman" w:hAnsi="Times New Roman" w:cs="Times New Roman"/>
        </w:rPr>
        <w:t xml:space="preserve"> de la Carta Fundamental del Estado, </w:t>
      </w:r>
      <w:r w:rsidRPr="0067008A">
        <w:rPr>
          <w:rFonts w:ascii="Times New Roman" w:hAnsi="Times New Roman" w:cs="Times New Roman"/>
        </w:rPr>
        <w:t xml:space="preserve"> </w:t>
      </w:r>
      <w:r w:rsidR="000F6567" w:rsidRPr="0067008A">
        <w:rPr>
          <w:rFonts w:ascii="Times New Roman" w:hAnsi="Times New Roman" w:cs="Times New Roman"/>
        </w:rPr>
        <w:t xml:space="preserve">expresa: </w:t>
      </w:r>
    </w:p>
    <w:p w:rsidR="006A4D59" w:rsidRPr="0067008A" w:rsidRDefault="00921711" w:rsidP="00677E33">
      <w:pPr>
        <w:spacing w:after="240" w:line="360" w:lineRule="auto"/>
        <w:ind w:left="720"/>
        <w:jc w:val="both"/>
        <w:rPr>
          <w:rFonts w:ascii="Times New Roman" w:hAnsi="Times New Roman" w:cs="Times New Roman"/>
          <w:i/>
        </w:rPr>
      </w:pPr>
      <w:r w:rsidRPr="0067008A">
        <w:rPr>
          <w:rFonts w:ascii="Times New Roman" w:hAnsi="Times New Roman" w:cs="Times New Roman"/>
          <w:i/>
        </w:rPr>
        <w:t>“El derecho a la seguridad jurídica se fundamenta en el respeto a la Constitución y en la existencia de normas jurídicas previas, claras, públicas y aplicadas por las autoridades competentes.”</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Por tanto, podemos inferir que el principio de</w:t>
      </w:r>
      <w:r w:rsidR="00677E33" w:rsidRPr="0067008A">
        <w:rPr>
          <w:rFonts w:ascii="Times New Roman" w:hAnsi="Times New Roman" w:cs="Times New Roman"/>
        </w:rPr>
        <w:t xml:space="preserve"> </w:t>
      </w:r>
      <w:r w:rsidRPr="0067008A">
        <w:rPr>
          <w:rFonts w:ascii="Times New Roman" w:hAnsi="Times New Roman" w:cs="Times New Roman"/>
        </w:rPr>
        <w:t xml:space="preserve">Seguridad Jurídica en el Estado Constitucional se constituye en un </w:t>
      </w:r>
      <w:r w:rsidR="008770CF" w:rsidRPr="0067008A">
        <w:rPr>
          <w:rFonts w:ascii="Times New Roman" w:hAnsi="Times New Roman" w:cs="Times New Roman"/>
        </w:rPr>
        <w:t>límite</w:t>
      </w:r>
      <w:r w:rsidRPr="0067008A">
        <w:rPr>
          <w:rFonts w:ascii="Times New Roman" w:hAnsi="Times New Roman" w:cs="Times New Roman"/>
        </w:rPr>
        <w:t xml:space="preserve"> a la actuación arbitraria del</w:t>
      </w:r>
      <w:r w:rsidR="00677E33" w:rsidRPr="0067008A">
        <w:rPr>
          <w:rFonts w:ascii="Times New Roman" w:hAnsi="Times New Roman" w:cs="Times New Roman"/>
        </w:rPr>
        <w:t xml:space="preserve"> </w:t>
      </w:r>
      <w:r w:rsidRPr="0067008A">
        <w:rPr>
          <w:rFonts w:ascii="Times New Roman" w:hAnsi="Times New Roman" w:cs="Times New Roman"/>
        </w:rPr>
        <w:t>Estado, a través de sus funcionarios</w:t>
      </w:r>
      <w:r w:rsidR="00A73E07" w:rsidRPr="0067008A">
        <w:rPr>
          <w:rFonts w:ascii="Times New Roman" w:hAnsi="Times New Roman" w:cs="Times New Roman"/>
        </w:rPr>
        <w:t>, así como</w:t>
      </w:r>
      <w:r w:rsidRPr="0067008A">
        <w:rPr>
          <w:rFonts w:ascii="Times New Roman" w:hAnsi="Times New Roman" w:cs="Times New Roman"/>
        </w:rPr>
        <w:t xml:space="preserve"> la garantía que tienen los ciudadanos de recibir de las autoridades administrativas o judiciales actos normativos subordinados a la Constitución y la Ley.</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En concordancia la Corte Constitucional Ecuatoriana en</w:t>
      </w:r>
      <w:r w:rsidR="00677E33" w:rsidRPr="0067008A">
        <w:rPr>
          <w:rFonts w:ascii="Times New Roman" w:hAnsi="Times New Roman" w:cs="Times New Roman"/>
        </w:rPr>
        <w:t xml:space="preserve"> </w:t>
      </w:r>
      <w:r w:rsidRPr="0067008A">
        <w:rPr>
          <w:rFonts w:ascii="Times New Roman" w:hAnsi="Times New Roman" w:cs="Times New Roman"/>
        </w:rPr>
        <w:t>la sentencia No. 015-10-SEP-CC señala que:</w:t>
      </w:r>
    </w:p>
    <w:p w:rsidR="006A4D59" w:rsidRPr="0067008A" w:rsidRDefault="00921711" w:rsidP="00677E33">
      <w:pPr>
        <w:spacing w:after="240" w:line="360" w:lineRule="auto"/>
        <w:ind w:left="720"/>
        <w:jc w:val="both"/>
        <w:rPr>
          <w:rFonts w:ascii="Times New Roman" w:hAnsi="Times New Roman" w:cs="Times New Roman"/>
          <w:i/>
        </w:rPr>
      </w:pPr>
      <w:r w:rsidRPr="0067008A">
        <w:rPr>
          <w:rFonts w:ascii="Times New Roman" w:hAnsi="Times New Roman" w:cs="Times New Roman"/>
          <w:i/>
        </w:rPr>
        <w:t>“(…) La seguridad jurídica constituye uno de los deberes fundamentales del Estado; se encuentra reconocida y garantizada por nuestra Constitución en el artículo 82, que consigna que el derecho a la seguridad jurídica se fundamenta en el respeto a la Constitución y a la existencia de normas jurídicas previas, claras, públicas y aplicadas por autoridades competentes.</w:t>
      </w:r>
    </w:p>
    <w:p w:rsidR="006A4D59" w:rsidRPr="0067008A" w:rsidRDefault="00921711" w:rsidP="00677E33">
      <w:pPr>
        <w:spacing w:after="240" w:line="360" w:lineRule="auto"/>
        <w:ind w:left="720"/>
        <w:jc w:val="both"/>
        <w:rPr>
          <w:rFonts w:ascii="Times New Roman" w:hAnsi="Times New Roman" w:cs="Times New Roman"/>
          <w:i/>
        </w:rPr>
      </w:pPr>
      <w:r w:rsidRPr="0067008A">
        <w:rPr>
          <w:rFonts w:ascii="Times New Roman" w:hAnsi="Times New Roman" w:cs="Times New Roman"/>
          <w:i/>
        </w:rPr>
        <w:t xml:space="preserve">Como lo ha señalado esta Corte, la necesidad de certeza y seguridad jurídica es uno de los principios que alimentan el núcleo duro del deber ser de las formalidades y solemnidades que caracterizan a los procesos en derecho; sin embargo, la seguridad jurídica no se agota en las meras formas, pues en muchos casos, dichas formalidades y solemnidades podrían ser el mecanismo de perpetuación de una injusticia o </w:t>
      </w:r>
      <w:r w:rsidR="00DC3AC6" w:rsidRPr="0067008A">
        <w:rPr>
          <w:rFonts w:ascii="Times New Roman" w:hAnsi="Times New Roman" w:cs="Times New Roman"/>
          <w:i/>
        </w:rPr>
        <w:t>una sinrazón jurídica</w:t>
      </w:r>
      <w:r w:rsidR="00C63B3E" w:rsidRPr="0067008A">
        <w:rPr>
          <w:rFonts w:ascii="Times New Roman" w:hAnsi="Times New Roman" w:cs="Times New Roman"/>
          <w:i/>
        </w:rPr>
        <w:t xml:space="preserve"> (</w:t>
      </w:r>
      <w:r w:rsidRPr="0067008A">
        <w:rPr>
          <w:rFonts w:ascii="Times New Roman" w:hAnsi="Times New Roman" w:cs="Times New Roman"/>
          <w:i/>
        </w:rPr>
        <w:t>…)”</w:t>
      </w:r>
      <w:r w:rsidR="008770CF" w:rsidRPr="0067008A">
        <w:rPr>
          <w:rFonts w:ascii="Times New Roman" w:hAnsi="Times New Roman" w:cs="Times New Roman"/>
          <w:i/>
        </w:rPr>
        <w:t>.</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De este modo, el principio de seguridad jurídica se hace efectivo en la medida en que los procesos de investigación y/o fiscalización que lleve a cabo la Asamblea Nacional del Ecuador, se rija por normas previamente establecidas, respeten las garantías del debido proceso y observen las normas procedimentales</w:t>
      </w:r>
      <w:r w:rsidR="00C63B3E" w:rsidRPr="0067008A">
        <w:rPr>
          <w:rFonts w:ascii="Times New Roman" w:hAnsi="Times New Roman" w:cs="Times New Roman"/>
        </w:rPr>
        <w:t xml:space="preserve">.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En este pu</w:t>
      </w:r>
      <w:r w:rsidR="007B686D" w:rsidRPr="0067008A">
        <w:rPr>
          <w:rFonts w:ascii="Times New Roman" w:hAnsi="Times New Roman" w:cs="Times New Roman"/>
        </w:rPr>
        <w:t>nto</w:t>
      </w:r>
      <w:r w:rsidRPr="0067008A">
        <w:rPr>
          <w:rFonts w:ascii="Times New Roman" w:hAnsi="Times New Roman" w:cs="Times New Roman"/>
        </w:rPr>
        <w:t xml:space="preserve"> es importante hacer referencia a la sentencia</w:t>
      </w:r>
      <w:r w:rsidR="00A53753" w:rsidRPr="0067008A">
        <w:rPr>
          <w:rFonts w:ascii="Times New Roman" w:hAnsi="Times New Roman" w:cs="Times New Roman"/>
        </w:rPr>
        <w:t xml:space="preserve"> de la Corte Constitucional</w:t>
      </w:r>
      <w:r w:rsidRPr="0067008A">
        <w:rPr>
          <w:rFonts w:ascii="Times New Roman" w:hAnsi="Times New Roman" w:cs="Times New Roman"/>
        </w:rPr>
        <w:t xml:space="preserve"> del caso No. 2137-21-EP</w:t>
      </w:r>
      <w:r w:rsidR="00677E33" w:rsidRPr="0067008A">
        <w:rPr>
          <w:rFonts w:ascii="Times New Roman" w:hAnsi="Times New Roman" w:cs="Times New Roman"/>
        </w:rPr>
        <w:t xml:space="preserve"> </w:t>
      </w:r>
      <w:r w:rsidRPr="0067008A">
        <w:rPr>
          <w:rFonts w:ascii="Times New Roman" w:hAnsi="Times New Roman" w:cs="Times New Roman"/>
        </w:rPr>
        <w:t>que señala, sobre la responsabilidad p</w:t>
      </w:r>
      <w:r w:rsidR="00A53753" w:rsidRPr="0067008A">
        <w:rPr>
          <w:rFonts w:ascii="Times New Roman" w:hAnsi="Times New Roman" w:cs="Times New Roman"/>
        </w:rPr>
        <w:t>olítica</w:t>
      </w:r>
      <w:r w:rsidRPr="0067008A">
        <w:rPr>
          <w:rFonts w:ascii="Times New Roman" w:hAnsi="Times New Roman" w:cs="Times New Roman"/>
        </w:rPr>
        <w:t xml:space="preserve"> y debido proceso durante el procedimetnos de remoción: </w:t>
      </w:r>
    </w:p>
    <w:p w:rsidR="006A4D59" w:rsidRPr="0067008A" w:rsidRDefault="00921711" w:rsidP="00677E33">
      <w:pPr>
        <w:spacing w:after="240" w:line="360" w:lineRule="auto"/>
        <w:jc w:val="both"/>
        <w:rPr>
          <w:rFonts w:ascii="Times New Roman" w:hAnsi="Times New Roman" w:cs="Times New Roman"/>
          <w:i/>
          <w:iCs/>
        </w:rPr>
      </w:pPr>
      <w:r w:rsidRPr="0067008A">
        <w:rPr>
          <w:rFonts w:ascii="Times New Roman" w:hAnsi="Times New Roman" w:cs="Times New Roman"/>
          <w:b/>
          <w:bCs/>
          <w:i/>
          <w:iCs/>
        </w:rPr>
        <w:t xml:space="preserve">“137. </w:t>
      </w:r>
      <w:r w:rsidRPr="0067008A">
        <w:rPr>
          <w:rFonts w:ascii="Times New Roman" w:hAnsi="Times New Roman" w:cs="Times New Roman"/>
          <w:i/>
          <w:iCs/>
        </w:rPr>
        <w:t xml:space="preserve">Sin embargo, aunque ambos mecanismos jurídicos y políticos ejercen un control al poder, existen diferencias sustanciales entre ellos, principalmente, en relación con los órganos que los efectúan, el objeto de su control y su carácter. Así, </w:t>
      </w:r>
      <w:r w:rsidRPr="0067008A">
        <w:rPr>
          <w:rFonts w:ascii="Times New Roman" w:hAnsi="Times New Roman" w:cs="Times New Roman"/>
          <w:b/>
          <w:i/>
          <w:iCs/>
        </w:rPr>
        <w:t>el control político institucional es efectuado por órganos políticos en función de criterios de representación popular, mientras que el control jurídico es efectuado por jueces con conocimientos jurídicos especializados e investidos de jurisdicción.</w:t>
      </w:r>
      <w:r w:rsidRPr="0067008A">
        <w:rPr>
          <w:rFonts w:ascii="Times New Roman" w:hAnsi="Times New Roman" w:cs="Times New Roman"/>
          <w:i/>
          <w:iCs/>
        </w:rPr>
        <w:t xml:space="preserve"> Asimismo, mientras en el control político se fiscaliza al órgano mediante su actuación política general, en el control jurídico se examina el acto impugnado en sí mismo considerado, sin que exista una particular atención al órgano. Finalmente, </w:t>
      </w:r>
      <w:r w:rsidRPr="0067008A">
        <w:rPr>
          <w:rFonts w:ascii="Times New Roman" w:hAnsi="Times New Roman" w:cs="Times New Roman"/>
          <w:b/>
          <w:i/>
          <w:iCs/>
        </w:rPr>
        <w:t>el control político es, esencialmente, de carácter subjetivo en cuanto se fundamenta en criterios de libre apreciación, oportunidad y confianza política -dentro de las causales y requerimientos previstos en el ordenamiento jurídico-, mientras que el control jurídico es de carácter objetivo en cuanto el juzgador se encuentra sujeto al Derecho, al ordenamiento jurídico preestablecido y a la técnica jurídica.”</w:t>
      </w:r>
    </w:p>
    <w:p w:rsidR="006A4D59" w:rsidRPr="0067008A" w:rsidRDefault="00921711" w:rsidP="00677E33">
      <w:pPr>
        <w:spacing w:after="240" w:line="360" w:lineRule="auto"/>
        <w:jc w:val="both"/>
        <w:rPr>
          <w:rFonts w:ascii="Times New Roman" w:hAnsi="Times New Roman" w:cs="Times New Roman"/>
          <w:i/>
          <w:iCs/>
        </w:rPr>
      </w:pPr>
      <w:r w:rsidRPr="0067008A">
        <w:rPr>
          <w:rFonts w:ascii="Times New Roman" w:hAnsi="Times New Roman" w:cs="Times New Roman"/>
          <w:b/>
          <w:bCs/>
          <w:i/>
          <w:iCs/>
        </w:rPr>
        <w:t xml:space="preserve">“138. </w:t>
      </w:r>
      <w:r w:rsidRPr="0067008A">
        <w:rPr>
          <w:rFonts w:ascii="Times New Roman" w:hAnsi="Times New Roman" w:cs="Times New Roman"/>
          <w:i/>
          <w:iCs/>
        </w:rPr>
        <w:t>Ahora bien, aun cuando han quedado establecidas las sustanciales diferencias entre los procesos judiciales y políticos, aquello no implica que estos últimos no estén sometidos a la Constitución. En esa línea, y teniendo en cuenta los argumentos vertidos en este caso, cabe destacar que el debido proceso constituye un derecho que garantiza que las partes dentro de cualquier proceso, en el que se determinen derechos y obligaciones en igualdad de condiciones, puedan exponer sus posiciones, presentar sus argumentos o las pruebas que respalden sus pretensiones, y ser escuchadas. Esta Corte ha determinado que “la posibilidad de defenderse ha sido definida como el derecho que tiene todo aquel cuyos derechos e intereses sean objeto de discusión dentro de un procedimiento, ya sea judicial, administrativo o de cualquier índole, para acceder al sistema procesal y hacer valer sus derechos respecto de este; en aquel sentido supone iguales condiciones y oportunidades de las partes involucradas en el proceso para ser debidamente escuchadas”</w:t>
      </w:r>
      <w:r w:rsidR="00EA25CA" w:rsidRPr="0067008A">
        <w:rPr>
          <w:rFonts w:ascii="Times New Roman" w:hAnsi="Times New Roman" w:cs="Times New Roman"/>
          <w:i/>
          <w:iCs/>
        </w:rPr>
        <w:t>.</w:t>
      </w:r>
    </w:p>
    <w:p w:rsidR="006A4D59" w:rsidRPr="0067008A" w:rsidRDefault="00921711" w:rsidP="00677E33">
      <w:pPr>
        <w:spacing w:after="240" w:line="360" w:lineRule="auto"/>
        <w:jc w:val="both"/>
        <w:rPr>
          <w:rFonts w:ascii="Times New Roman" w:hAnsi="Times New Roman" w:cs="Times New Roman"/>
          <w:i/>
          <w:iCs/>
        </w:rPr>
      </w:pPr>
      <w:r w:rsidRPr="0067008A">
        <w:rPr>
          <w:rFonts w:ascii="Times New Roman" w:hAnsi="Times New Roman" w:cs="Times New Roman"/>
          <w:i/>
          <w:iCs/>
        </w:rPr>
        <w:t>“139. Por lo que, dentro de procesos de control político, también se requiere de garantías básicas, pertinentes y adecuadas de defensa que permitan la igualdad de armas y garanticen el desarrollo apropiado del procedimiento, previo a la decisión del órgano que ejerce el control político. No obstante, esto no significa automáticamente que todas las garantías previstas en el artículo 76 de la Constitución deban ser aplicables en la misma medida o asimilables directamente en un proceso de control político, pues por la naturaleza propia de estos no se puede manejar un estándar igual ni rígido al que se maneja en un proceso jurisdiccional.</w:t>
      </w:r>
    </w:p>
    <w:p w:rsidR="006A4D59" w:rsidRPr="0067008A" w:rsidRDefault="00921711" w:rsidP="00677E33">
      <w:pPr>
        <w:spacing w:after="240" w:line="360" w:lineRule="auto"/>
        <w:jc w:val="both"/>
        <w:rPr>
          <w:rFonts w:ascii="Times New Roman" w:hAnsi="Times New Roman" w:cs="Times New Roman"/>
          <w:i/>
          <w:iCs/>
        </w:rPr>
      </w:pPr>
      <w:r w:rsidRPr="0067008A">
        <w:rPr>
          <w:rFonts w:ascii="Times New Roman" w:hAnsi="Times New Roman" w:cs="Times New Roman"/>
          <w:b/>
          <w:bCs/>
          <w:i/>
          <w:iCs/>
        </w:rPr>
        <w:t xml:space="preserve">“140. </w:t>
      </w:r>
      <w:r w:rsidRPr="0067008A">
        <w:rPr>
          <w:rFonts w:ascii="Times New Roman" w:hAnsi="Times New Roman" w:cs="Times New Roman"/>
          <w:i/>
          <w:iCs/>
        </w:rPr>
        <w:t>Además, dado que estos inciden en la continuidad y permanencia en el cargo de una autoridad que, incluso, fue elegida por el voto popular para un periodo determinado y que, en principio, puede tener repercusiones en el derecho de los electores de elegir a sus representantes y en la representación democrática por ellos entregada a la autoridad elegida, con más razón debe garantizar elementos básicos del debido proceso constitucional para garantizar la transparencia y la legitimidad del proceso.”</w:t>
      </w:r>
    </w:p>
    <w:p w:rsidR="006A4D59" w:rsidRPr="0067008A" w:rsidRDefault="00921711" w:rsidP="00677E33">
      <w:pPr>
        <w:spacing w:after="240" w:line="360" w:lineRule="auto"/>
        <w:jc w:val="both"/>
        <w:rPr>
          <w:rFonts w:ascii="Times New Roman" w:hAnsi="Times New Roman" w:cs="Times New Roman"/>
          <w:i/>
          <w:iCs/>
        </w:rPr>
      </w:pPr>
      <w:r w:rsidRPr="0067008A">
        <w:rPr>
          <w:rFonts w:ascii="Times New Roman" w:hAnsi="Times New Roman" w:cs="Times New Roman"/>
          <w:b/>
          <w:bCs/>
          <w:i/>
          <w:iCs/>
        </w:rPr>
        <w:t xml:space="preserve">“152. </w:t>
      </w:r>
      <w:r w:rsidRPr="0067008A">
        <w:rPr>
          <w:rFonts w:ascii="Times New Roman" w:hAnsi="Times New Roman" w:cs="Times New Roman"/>
          <w:i/>
          <w:iCs/>
        </w:rPr>
        <w:t xml:space="preserve">En tal sentido, aunque durante el procedimiento de remoción, efectivamente, se debe garantizar elementos básicos del debido proceso y del derecho a la defensa -como ser escuchado en el momento oportuno y en igualdad de condiciones o presentar pruebas y contradecir las que se presenten en su contra-, en el caso particular de la garantía de imparcialidad, </w:t>
      </w:r>
      <w:r w:rsidRPr="0067008A">
        <w:rPr>
          <w:rFonts w:ascii="Times New Roman" w:hAnsi="Times New Roman" w:cs="Times New Roman"/>
          <w:b/>
          <w:i/>
          <w:iCs/>
        </w:rPr>
        <w:t>resulta impertinente aplicar los estándares de los procesos judiciales o administrativos, pues los concejales, como ‘legisladores’ integrantes de un órgano legislativo y de fiscalización, en su ejercicio del cargo no ejercen jurisdicción. Por lo que, no se puede aplicar las exigencias de reserva y moderación de los órganos jurisdiccionales a los concejales en su ejercicio de control político y fiscalización, pues su función en el juego democrático exige que estos expongan públicamente sus posturas políticas, como esencia del carácter representativo de sus cargos y la obligación de responder a sus electores.”</w:t>
      </w:r>
    </w:p>
    <w:p w:rsidR="006A4D59" w:rsidRPr="0067008A" w:rsidRDefault="00921711" w:rsidP="00677E33">
      <w:pPr>
        <w:spacing w:after="240" w:line="360" w:lineRule="auto"/>
        <w:jc w:val="both"/>
        <w:rPr>
          <w:rFonts w:ascii="Times New Roman" w:hAnsi="Times New Roman" w:cs="Times New Roman"/>
          <w:i/>
          <w:iCs/>
        </w:rPr>
      </w:pPr>
      <w:r w:rsidRPr="0067008A">
        <w:rPr>
          <w:rFonts w:ascii="Times New Roman" w:hAnsi="Times New Roman" w:cs="Times New Roman"/>
          <w:b/>
          <w:bCs/>
          <w:i/>
          <w:iCs/>
        </w:rPr>
        <w:t xml:space="preserve">“154. </w:t>
      </w:r>
      <w:r w:rsidRPr="0067008A">
        <w:rPr>
          <w:rFonts w:ascii="Times New Roman" w:hAnsi="Times New Roman" w:cs="Times New Roman"/>
          <w:b/>
          <w:i/>
          <w:iCs/>
        </w:rPr>
        <w:t>Así, debe considerarse que el procedimiento de remoción no constituye un proceso penal o administrativo sancionador en el que se afecte per se un derecho subjetivo propio del accionante, sino que su posible separación del cargo se inserta precisamente dentro de la lógica democrática de la separación de poderes, el reproche a la autoridad y la pérdida de confianza política de una dignidad democráticamente elegida.</w:t>
      </w:r>
      <w:r w:rsidRPr="0067008A">
        <w:rPr>
          <w:rFonts w:ascii="Times New Roman" w:hAnsi="Times New Roman" w:cs="Times New Roman"/>
          <w:i/>
          <w:iCs/>
        </w:rPr>
        <w:t xml:space="preserve"> Es por ello que, exigir que los miembros del órgano legislativo o de la Comisión de Mesa no se manifiesten públicamente sobre un procedimiento de remoción o sobre un presunto mal desempeño del gobierno en la actividad encomendada, antes que garantizar la imparcialidad, impediría la democratización del proceso de control político y la participación ciudadana en los asuntos públicos”</w:t>
      </w:r>
      <w:r w:rsidR="008D1714" w:rsidRPr="0067008A">
        <w:rPr>
          <w:rFonts w:ascii="Times New Roman" w:hAnsi="Times New Roman" w:cs="Times New Roman"/>
          <w:i/>
          <w:iCs/>
        </w:rPr>
        <w:t>.</w:t>
      </w:r>
    </w:p>
    <w:p w:rsidR="006A4D59" w:rsidRPr="0067008A" w:rsidRDefault="00921711" w:rsidP="008D1714">
      <w:pPr>
        <w:pStyle w:val="Prrafodelista"/>
        <w:numPr>
          <w:ilvl w:val="1"/>
          <w:numId w:val="38"/>
        </w:numPr>
        <w:spacing w:after="240" w:line="360" w:lineRule="auto"/>
        <w:jc w:val="both"/>
        <w:rPr>
          <w:b/>
        </w:rPr>
      </w:pPr>
      <w:r w:rsidRPr="0067008A">
        <w:rPr>
          <w:b/>
        </w:rPr>
        <w:t xml:space="preserve">Competencia de la Comisión Especializada Permanente de Garantías Constitucionales, Derechos Humanos, Derechos Colectivos y la </w:t>
      </w:r>
      <w:r w:rsidR="008D1714" w:rsidRPr="0067008A">
        <w:rPr>
          <w:b/>
        </w:rPr>
        <w:t>I</w:t>
      </w:r>
      <w:r w:rsidRPr="0067008A">
        <w:rPr>
          <w:b/>
        </w:rPr>
        <w:t>nterculturalidad y</w:t>
      </w:r>
      <w:r w:rsidR="008D1714" w:rsidRPr="0067008A">
        <w:rPr>
          <w:b/>
        </w:rPr>
        <w:t xml:space="preserve"> la</w:t>
      </w:r>
      <w:r w:rsidRPr="0067008A">
        <w:rPr>
          <w:b/>
        </w:rPr>
        <w:t xml:space="preserve"> Resolución </w:t>
      </w:r>
      <w:r w:rsidR="00CC2BBA" w:rsidRPr="0067008A">
        <w:rPr>
          <w:b/>
        </w:rPr>
        <w:t>expedida</w:t>
      </w:r>
      <w:r w:rsidRPr="0067008A">
        <w:rPr>
          <w:b/>
        </w:rPr>
        <w:t xml:space="preserve"> por el Pleno de la Asamblea Nacional.</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Es importante mencionar lo determinado en el párrafo primero del artículo 77 de la Ley Orgánica de la Función Legislativa, que establece que: </w:t>
      </w:r>
      <w:r w:rsidRPr="0067008A">
        <w:rPr>
          <w:rFonts w:ascii="Times New Roman" w:hAnsi="Times New Roman" w:cs="Times New Roman"/>
          <w:i/>
        </w:rPr>
        <w:t>“Sin perjuicio de lo previsto en esta Sección, el Pleno de la Asamblea Nacional o el Consejo de Administración Legislativa, podrá requerir a una de las comisiones especializadas, o a la Comisión de Fiscalización y Control Político, la investigación sobre la actuación de cualquier funcionaria o funcionario público de las distintas funciones del Estado o sobre actos de interés ciudadano que hayan generado conmoción social o crisis política</w:t>
      </w:r>
      <w:r w:rsidR="00554442" w:rsidRPr="0067008A">
        <w:rPr>
          <w:rFonts w:ascii="Times New Roman" w:hAnsi="Times New Roman" w:cs="Times New Roman"/>
          <w:i/>
        </w:rPr>
        <w:t>”.</w:t>
      </w:r>
    </w:p>
    <w:p w:rsidR="006A4D59" w:rsidRPr="0067008A" w:rsidRDefault="00FD23ED" w:rsidP="00677E33">
      <w:pPr>
        <w:spacing w:after="240" w:line="360" w:lineRule="auto"/>
        <w:jc w:val="both"/>
        <w:rPr>
          <w:rFonts w:ascii="Times New Roman" w:hAnsi="Times New Roman" w:cs="Times New Roman"/>
        </w:rPr>
      </w:pPr>
      <w:r w:rsidRPr="0067008A">
        <w:rPr>
          <w:rFonts w:ascii="Times New Roman" w:hAnsi="Times New Roman" w:cs="Times New Roman"/>
        </w:rPr>
        <w:t>El</w:t>
      </w:r>
      <w:r w:rsidR="00921711" w:rsidRPr="0067008A">
        <w:rPr>
          <w:rFonts w:ascii="Times New Roman" w:hAnsi="Times New Roman" w:cs="Times New Roman"/>
        </w:rPr>
        <w:t xml:space="preserve"> inciso segu</w:t>
      </w:r>
      <w:r w:rsidRPr="0067008A">
        <w:rPr>
          <w:rFonts w:ascii="Times New Roman" w:hAnsi="Times New Roman" w:cs="Times New Roman"/>
        </w:rPr>
        <w:t xml:space="preserve">ndo del </w:t>
      </w:r>
      <w:r w:rsidR="00921711" w:rsidRPr="0067008A">
        <w:rPr>
          <w:rFonts w:ascii="Times New Roman" w:hAnsi="Times New Roman" w:cs="Times New Roman"/>
        </w:rPr>
        <w:t xml:space="preserve">artículo 77 de la Ley Orgánica de la Función Legislativa, menciona que: </w:t>
      </w:r>
      <w:r w:rsidR="00921711" w:rsidRPr="0067008A">
        <w:rPr>
          <w:rFonts w:ascii="Times New Roman" w:hAnsi="Times New Roman" w:cs="Times New Roman"/>
          <w:i/>
        </w:rPr>
        <w:t>“La comisión encargada de la investigación tendrá un plazo no mayor a treinta días para la presentación del informe correspondiente que será puesto en conocimiento del Pleno de la Asamblea Nacional en el plazo máximo de treinta días. El informe de la comisión podrá incluir la recomendación de inicio del trámite de juicio político previsto en esta Ley, si de la investigación se determina posible incumplimiento de funcionarios sujetos a juicio político</w:t>
      </w:r>
      <w:r w:rsidR="00580844" w:rsidRPr="0067008A">
        <w:rPr>
          <w:rFonts w:ascii="Times New Roman" w:hAnsi="Times New Roman" w:cs="Times New Roman"/>
          <w:i/>
        </w:rPr>
        <w:t>”.</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De esta manera, el 07 de octubre de 2021, el Pleno de la Asamblea Nacional del Ecuador, con Resolución RL-2021-2023-032, aprobó </w:t>
      </w:r>
      <w:r w:rsidR="00734DE1" w:rsidRPr="0067008A">
        <w:rPr>
          <w:rFonts w:ascii="Times New Roman" w:hAnsi="Times New Roman" w:cs="Times New Roman"/>
        </w:rPr>
        <w:t>que sea l</w:t>
      </w:r>
      <w:r w:rsidRPr="0067008A">
        <w:rPr>
          <w:rFonts w:ascii="Times New Roman" w:hAnsi="Times New Roman" w:cs="Times New Roman"/>
        </w:rPr>
        <w:t xml:space="preserve">a Comisión Especializada Permanente de Garantías Constitucionales, Derechos Humanos, Derechos Colectivos y la interculturalidad, </w:t>
      </w:r>
      <w:r w:rsidR="00734DE1" w:rsidRPr="0067008A">
        <w:rPr>
          <w:rFonts w:ascii="Times New Roman" w:hAnsi="Times New Roman" w:cs="Times New Roman"/>
        </w:rPr>
        <w:t xml:space="preserve">la que </w:t>
      </w:r>
      <w:r w:rsidRPr="0067008A">
        <w:rPr>
          <w:rFonts w:ascii="Times New Roman" w:hAnsi="Times New Roman" w:cs="Times New Roman"/>
        </w:rPr>
        <w:t>efectúe la investigación correspondiente del caso denominado “PANDORA PAPERS”</w:t>
      </w:r>
      <w:r w:rsidR="00D06CBB" w:rsidRPr="0067008A">
        <w:rPr>
          <w:rFonts w:ascii="Times New Roman" w:hAnsi="Times New Roman" w:cs="Times New Roman"/>
        </w:rPr>
        <w:t xml:space="preserve">, debiendo la referida Comisión, presentar un informe con las recomendaciones que correspondan.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Adicionalmente, es importante mencionar lo determinado en el último inciso del artículo 8 del Reglamento General de las Comisiones Permanentes y Ocasionales que dice: </w:t>
      </w:r>
      <w:r w:rsidRPr="0067008A">
        <w:rPr>
          <w:rFonts w:ascii="Times New Roman" w:hAnsi="Times New Roman" w:cs="Times New Roman"/>
          <w:i/>
        </w:rPr>
        <w:t>“En ningún caso las comisiones podrán interferir en temas relacionados con las exclusivas competencias de otras comisiones, ni se podrán crear comisiones ocasionales para tratar temas coyunturales que se puedan abordar en las comisiones especiales permanentes, salvo expresa disposición del Pleno de la Asamblea Nacional y conforme lo determina la Ley.”</w:t>
      </w:r>
    </w:p>
    <w:p w:rsidR="00BB594E"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Es así que, la Comisión Especializada Permanente de Garantías Constitucionales, Derechos Humanos, Derechos Colectivos y la </w:t>
      </w:r>
      <w:r w:rsidR="00E11884" w:rsidRPr="0067008A">
        <w:rPr>
          <w:rFonts w:ascii="Times New Roman" w:hAnsi="Times New Roman" w:cs="Times New Roman"/>
        </w:rPr>
        <w:t>I</w:t>
      </w:r>
      <w:r w:rsidRPr="0067008A">
        <w:rPr>
          <w:rFonts w:ascii="Times New Roman" w:hAnsi="Times New Roman" w:cs="Times New Roman"/>
        </w:rPr>
        <w:t>nterculturalidad es un cuerpo colegiado</w:t>
      </w:r>
      <w:r w:rsidR="00E0273C" w:rsidRPr="0067008A">
        <w:rPr>
          <w:rFonts w:ascii="Times New Roman" w:hAnsi="Times New Roman" w:cs="Times New Roman"/>
        </w:rPr>
        <w:t xml:space="preserve"> </w:t>
      </w:r>
      <w:r w:rsidRPr="0067008A">
        <w:rPr>
          <w:rFonts w:ascii="Times New Roman" w:hAnsi="Times New Roman" w:cs="Times New Roman"/>
        </w:rPr>
        <w:t>que mantiene miembros permanentes y elegidos cada dos años por la Asamblea Nacional y que por disposición de la Resolución RL-2021-2023-032 de</w:t>
      </w:r>
      <w:r w:rsidR="00677E33" w:rsidRPr="0067008A">
        <w:rPr>
          <w:rFonts w:ascii="Times New Roman" w:hAnsi="Times New Roman" w:cs="Times New Roman"/>
        </w:rPr>
        <w:t xml:space="preserve"> </w:t>
      </w:r>
      <w:r w:rsidRPr="0067008A">
        <w:rPr>
          <w:rFonts w:ascii="Times New Roman" w:hAnsi="Times New Roman" w:cs="Times New Roman"/>
        </w:rPr>
        <w:t>07 de octubre de 2021, el Pleno de la Asamblea Nacional del Ecuador, como máximo organismo</w:t>
      </w:r>
      <w:r w:rsidR="00677E33" w:rsidRPr="0067008A">
        <w:rPr>
          <w:rFonts w:ascii="Times New Roman" w:hAnsi="Times New Roman" w:cs="Times New Roman"/>
        </w:rPr>
        <w:t xml:space="preserve"> </w:t>
      </w:r>
      <w:r w:rsidRPr="0067008A">
        <w:rPr>
          <w:rFonts w:ascii="Times New Roman" w:hAnsi="Times New Roman" w:cs="Times New Roman"/>
        </w:rPr>
        <w:t>de decisión,</w:t>
      </w:r>
      <w:r w:rsidR="00677E33" w:rsidRPr="0067008A">
        <w:rPr>
          <w:rFonts w:ascii="Times New Roman" w:hAnsi="Times New Roman" w:cs="Times New Roman"/>
        </w:rPr>
        <w:t xml:space="preserve"> </w:t>
      </w:r>
      <w:r w:rsidRPr="0067008A">
        <w:rPr>
          <w:rFonts w:ascii="Times New Roman" w:hAnsi="Times New Roman" w:cs="Times New Roman"/>
        </w:rPr>
        <w:t>tiene la disposición específica de investigar el caso denominado “PANDORA PAPERS”</w:t>
      </w:r>
      <w:r w:rsidR="00E0273C" w:rsidRPr="0067008A">
        <w:rPr>
          <w:rFonts w:ascii="Times New Roman" w:hAnsi="Times New Roman" w:cs="Times New Roman"/>
        </w:rPr>
        <w:t xml:space="preserve">, </w:t>
      </w:r>
      <w:r w:rsidRPr="0067008A">
        <w:rPr>
          <w:rFonts w:ascii="Times New Roman" w:hAnsi="Times New Roman" w:cs="Times New Roman"/>
        </w:rPr>
        <w:t>por ser un hecho de gran interés ciudadano que ha generado seria conmoción social</w:t>
      </w:r>
      <w:r w:rsidR="00BB594E" w:rsidRPr="0067008A">
        <w:rPr>
          <w:rFonts w:ascii="Times New Roman" w:hAnsi="Times New Roman" w:cs="Times New Roman"/>
        </w:rPr>
        <w:t xml:space="preserve">. </w:t>
      </w:r>
    </w:p>
    <w:p w:rsidR="00BB594E" w:rsidRPr="0067008A" w:rsidRDefault="00BB594E"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Por lo tanto, esta Comisión tiene como una de sus competencias </w:t>
      </w:r>
      <w:r w:rsidR="00921711" w:rsidRPr="0067008A">
        <w:rPr>
          <w:rFonts w:ascii="Times New Roman" w:hAnsi="Times New Roman" w:cs="Times New Roman"/>
        </w:rPr>
        <w:t>formular pedidos de información que consideren necesarios, bajo criterios de especialidad y prevalencia legislativa y elaborar un informe pormenorizado, con sus respectivas recomendaciones para que el mismo sea conocido y debatido ante el Pleno de la Asamblea Nacional</w:t>
      </w:r>
      <w:r w:rsidR="00EE1FE1" w:rsidRPr="0067008A">
        <w:rPr>
          <w:rFonts w:ascii="Times New Roman" w:hAnsi="Times New Roman" w:cs="Times New Roman"/>
        </w:rPr>
        <w:t>.</w:t>
      </w:r>
    </w:p>
    <w:p w:rsidR="006A4D59" w:rsidRPr="0067008A" w:rsidRDefault="00FF0C7E"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En tal sentido, </w:t>
      </w:r>
      <w:r w:rsidR="00921711" w:rsidRPr="0067008A">
        <w:rPr>
          <w:rFonts w:ascii="Times New Roman" w:hAnsi="Times New Roman" w:cs="Times New Roman"/>
        </w:rPr>
        <w:t xml:space="preserve">la Comisión Especializada Permanente de Garantías Constitucionales, Derechos Humanos, Derechos Colectivos y la Interculturalidad es un órgano </w:t>
      </w:r>
      <w:r w:rsidR="00D331E7" w:rsidRPr="0067008A">
        <w:rPr>
          <w:rFonts w:ascii="Times New Roman" w:hAnsi="Times New Roman" w:cs="Times New Roman"/>
        </w:rPr>
        <w:t xml:space="preserve">de la Asamblea Nacional, que no </w:t>
      </w:r>
      <w:r w:rsidR="00921711" w:rsidRPr="0067008A">
        <w:rPr>
          <w:rFonts w:ascii="Times New Roman" w:hAnsi="Times New Roman" w:cs="Times New Roman"/>
        </w:rPr>
        <w:t>adopta resoluciones</w:t>
      </w:r>
      <w:r w:rsidR="00D331E7" w:rsidRPr="0067008A">
        <w:rPr>
          <w:rFonts w:ascii="Times New Roman" w:hAnsi="Times New Roman" w:cs="Times New Roman"/>
        </w:rPr>
        <w:t>, ni</w:t>
      </w:r>
      <w:r w:rsidR="00921711" w:rsidRPr="0067008A">
        <w:rPr>
          <w:rFonts w:ascii="Times New Roman" w:hAnsi="Times New Roman" w:cs="Times New Roman"/>
        </w:rPr>
        <w:t xml:space="preserve"> decisiones administrativas, sino que emite</w:t>
      </w:r>
      <w:r w:rsidR="00D331E7" w:rsidRPr="0067008A">
        <w:rPr>
          <w:rFonts w:ascii="Times New Roman" w:hAnsi="Times New Roman" w:cs="Times New Roman"/>
        </w:rPr>
        <w:t xml:space="preserve"> </w:t>
      </w:r>
      <w:r w:rsidR="00921711" w:rsidRPr="0067008A">
        <w:rPr>
          <w:rFonts w:ascii="Times New Roman" w:hAnsi="Times New Roman" w:cs="Times New Roman"/>
        </w:rPr>
        <w:t xml:space="preserve">sugerencias y recomendaciones que deben ser conocidas por el Pleno de la Asamblea Nacional; y en consecuencia, su informe constituye un mero acto preparatorio y de trámite dentro del proceso integral. El informe no genera efectos jurídicos directos ni vinculantes, pues su único objetivo es dotar de elementos de juicio al Pleno </w:t>
      </w:r>
      <w:r w:rsidR="00D331E7" w:rsidRPr="0067008A">
        <w:rPr>
          <w:rFonts w:ascii="Times New Roman" w:hAnsi="Times New Roman" w:cs="Times New Roman"/>
        </w:rPr>
        <w:t>de la Asamblea Nacional</w:t>
      </w:r>
      <w:r w:rsidR="00C0719A" w:rsidRPr="0067008A">
        <w:rPr>
          <w:rFonts w:ascii="Times New Roman" w:hAnsi="Times New Roman" w:cs="Times New Roman"/>
        </w:rPr>
        <w:t xml:space="preserve">. </w:t>
      </w:r>
    </w:p>
    <w:p w:rsidR="004055CE" w:rsidRPr="0067008A" w:rsidRDefault="00921711" w:rsidP="004055CE">
      <w:pPr>
        <w:spacing w:after="240" w:line="360" w:lineRule="auto"/>
        <w:jc w:val="both"/>
        <w:rPr>
          <w:rFonts w:ascii="Times New Roman" w:hAnsi="Times New Roman" w:cs="Times New Roman"/>
        </w:rPr>
      </w:pPr>
      <w:r w:rsidRPr="0067008A">
        <w:rPr>
          <w:rFonts w:ascii="Times New Roman" w:hAnsi="Times New Roman" w:cs="Times New Roman"/>
        </w:rPr>
        <w:t xml:space="preserve">Ahora bien, tal como lo ha señalado la Corte Constitucional, en la </w:t>
      </w:r>
      <w:r w:rsidR="00786CA7" w:rsidRPr="0067008A">
        <w:rPr>
          <w:rFonts w:ascii="Times New Roman" w:hAnsi="Times New Roman" w:cs="Times New Roman"/>
        </w:rPr>
        <w:t>S</w:t>
      </w:r>
      <w:r w:rsidRPr="0067008A">
        <w:rPr>
          <w:rFonts w:ascii="Times New Roman" w:hAnsi="Times New Roman" w:cs="Times New Roman"/>
        </w:rPr>
        <w:t xml:space="preserve">entencia del </w:t>
      </w:r>
      <w:r w:rsidR="00786CA7" w:rsidRPr="0067008A">
        <w:rPr>
          <w:rFonts w:ascii="Times New Roman" w:hAnsi="Times New Roman" w:cs="Times New Roman"/>
        </w:rPr>
        <w:t xml:space="preserve">caso </w:t>
      </w:r>
      <w:r w:rsidRPr="0067008A">
        <w:rPr>
          <w:rFonts w:ascii="Times New Roman" w:hAnsi="Times New Roman" w:cs="Times New Roman"/>
        </w:rPr>
        <w:t xml:space="preserve">No. 2137-27-EP, señalado </w:t>
      </w:r>
      <w:r w:rsidR="00DE3565" w:rsidRPr="0067008A">
        <w:rPr>
          <w:rFonts w:ascii="Times New Roman" w:hAnsi="Times New Roman" w:cs="Times New Roman"/>
        </w:rPr>
        <w:t>en líneas anteriores,</w:t>
      </w:r>
      <w:r w:rsidRPr="0067008A">
        <w:rPr>
          <w:rFonts w:ascii="Times New Roman" w:hAnsi="Times New Roman" w:cs="Times New Roman"/>
        </w:rPr>
        <w:t xml:space="preserve"> en el marco constitucional y legal y, de acuerdo a los principios de soberanía popular y representación política, los gobernantes son responsables por el desempeño de sus funciones ante el pueblo soberano. Por lo que, la acción de gobierno puede ser controlada no solo a través de mecanismos de responsabilidad jurídica y democracia directa, sino también de naturaleza política. Para el efecto, la Constitución y la ley prevén mecanismos tanto de control jurídico como de control político, por medio de los cuales el pueblo puede responsabilizar políticamente a sus gobernantes, sea de forma directa mediante el sufragio activo o la revocatoria del mandato o, de forma indirecta, a través del órgano legislativo. En tal virtud, el artículo 61, numeral 5, de la Constitución de la República reconoce como derecho de participación el </w:t>
      </w:r>
      <w:r w:rsidRPr="0067008A">
        <w:rPr>
          <w:rFonts w:ascii="Times New Roman" w:hAnsi="Times New Roman" w:cs="Times New Roman"/>
          <w:i/>
        </w:rPr>
        <w:t xml:space="preserve">“fiscalizar los actos del poder público” </w:t>
      </w:r>
      <w:r w:rsidRPr="0067008A">
        <w:rPr>
          <w:rFonts w:ascii="Times New Roman" w:hAnsi="Times New Roman" w:cs="Times New Roman"/>
        </w:rPr>
        <w:t xml:space="preserve">y los mecanismos de control político constituyen una forma de fiscalización. </w:t>
      </w:r>
    </w:p>
    <w:p w:rsidR="006A4D59" w:rsidRPr="0067008A" w:rsidRDefault="000C5414" w:rsidP="004055CE">
      <w:pPr>
        <w:pStyle w:val="Prrafodelista"/>
        <w:numPr>
          <w:ilvl w:val="0"/>
          <w:numId w:val="15"/>
        </w:numPr>
        <w:spacing w:after="240" w:line="360" w:lineRule="auto"/>
        <w:jc w:val="both"/>
      </w:pPr>
      <w:r w:rsidRPr="0067008A">
        <w:rPr>
          <w:b/>
        </w:rPr>
        <w:t xml:space="preserve">METODOLOGÍA DE TRABAJO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Al tratarse de un proceso de control político </w:t>
      </w:r>
      <w:r w:rsidR="004055CE" w:rsidRPr="0067008A">
        <w:rPr>
          <w:rFonts w:ascii="Times New Roman" w:hAnsi="Times New Roman" w:cs="Times New Roman"/>
        </w:rPr>
        <w:t xml:space="preserve">efectuado </w:t>
      </w:r>
      <w:r w:rsidRPr="0067008A">
        <w:rPr>
          <w:rFonts w:ascii="Times New Roman" w:hAnsi="Times New Roman" w:cs="Times New Roman"/>
        </w:rPr>
        <w:t xml:space="preserve">por la Asamblea Nacional, se siguió una metodología </w:t>
      </w:r>
      <w:r w:rsidR="004055CE" w:rsidRPr="0067008A">
        <w:rPr>
          <w:rFonts w:ascii="Times New Roman" w:hAnsi="Times New Roman" w:cs="Times New Roman"/>
        </w:rPr>
        <w:t>de</w:t>
      </w:r>
      <w:r w:rsidRPr="0067008A">
        <w:rPr>
          <w:rFonts w:ascii="Times New Roman" w:hAnsi="Times New Roman" w:cs="Times New Roman"/>
        </w:rPr>
        <w:t xml:space="preserve"> investigación jurídica </w:t>
      </w:r>
      <w:r w:rsidR="004055CE" w:rsidRPr="0067008A">
        <w:rPr>
          <w:rFonts w:ascii="Times New Roman" w:hAnsi="Times New Roman" w:cs="Times New Roman"/>
        </w:rPr>
        <w:t>basada en los aspectos sociológicos,</w:t>
      </w:r>
      <w:r w:rsidRPr="0067008A">
        <w:rPr>
          <w:rFonts w:ascii="Times New Roman" w:hAnsi="Times New Roman" w:cs="Times New Roman"/>
        </w:rPr>
        <w:t xml:space="preserve"> histórico</w:t>
      </w:r>
      <w:r w:rsidR="004055CE" w:rsidRPr="0067008A">
        <w:rPr>
          <w:rFonts w:ascii="Times New Roman" w:hAnsi="Times New Roman" w:cs="Times New Roman"/>
        </w:rPr>
        <w:t>s</w:t>
      </w:r>
      <w:r w:rsidRPr="0067008A">
        <w:rPr>
          <w:rFonts w:ascii="Times New Roman" w:hAnsi="Times New Roman" w:cs="Times New Roman"/>
        </w:rPr>
        <w:t>, documental</w:t>
      </w:r>
      <w:r w:rsidR="004055CE" w:rsidRPr="0067008A">
        <w:rPr>
          <w:rFonts w:ascii="Times New Roman" w:hAnsi="Times New Roman" w:cs="Times New Roman"/>
        </w:rPr>
        <w:t>es</w:t>
      </w:r>
      <w:r w:rsidRPr="0067008A">
        <w:rPr>
          <w:rFonts w:ascii="Times New Roman" w:hAnsi="Times New Roman" w:cs="Times New Roman"/>
        </w:rPr>
        <w:t xml:space="preserve"> y analítico</w:t>
      </w:r>
      <w:r w:rsidR="004055CE" w:rsidRPr="0067008A">
        <w:rPr>
          <w:rFonts w:ascii="Times New Roman" w:hAnsi="Times New Roman" w:cs="Times New Roman"/>
        </w:rPr>
        <w:t>s</w:t>
      </w:r>
      <w:r w:rsidRPr="0067008A">
        <w:rPr>
          <w:rFonts w:ascii="Times New Roman" w:hAnsi="Times New Roman" w:cs="Times New Roman"/>
        </w:rPr>
        <w:t>. De acuerdo a los siguientes momentos:</w:t>
      </w:r>
    </w:p>
    <w:p w:rsidR="006A4D59" w:rsidRPr="0067008A" w:rsidRDefault="00921711" w:rsidP="00DC3AC6">
      <w:pPr>
        <w:spacing w:after="240" w:line="360" w:lineRule="auto"/>
        <w:jc w:val="both"/>
        <w:rPr>
          <w:rFonts w:ascii="Times New Roman" w:hAnsi="Times New Roman" w:cs="Times New Roman"/>
          <w:b/>
        </w:rPr>
      </w:pPr>
      <w:r w:rsidRPr="0067008A">
        <w:rPr>
          <w:rFonts w:ascii="Times New Roman" w:hAnsi="Times New Roman" w:cs="Times New Roman"/>
          <w:b/>
        </w:rPr>
        <w:t>Recolección de información</w:t>
      </w:r>
    </w:p>
    <w:p w:rsidR="006A4D59" w:rsidRPr="0067008A" w:rsidRDefault="00921711" w:rsidP="00C64166">
      <w:pPr>
        <w:spacing w:after="240" w:line="360" w:lineRule="auto"/>
        <w:jc w:val="both"/>
        <w:rPr>
          <w:rFonts w:ascii="Times New Roman" w:hAnsi="Times New Roman" w:cs="Times New Roman"/>
          <w:i/>
          <w:iCs/>
          <w:color w:val="C00000"/>
          <w:lang w:val="es-EC"/>
        </w:rPr>
      </w:pPr>
      <w:r w:rsidRPr="00CC67C2">
        <w:rPr>
          <w:rFonts w:ascii="Times New Roman" w:hAnsi="Times New Roman" w:cs="Times New Roman"/>
          <w:color w:val="000000"/>
          <w:lang w:val="es-EC"/>
        </w:rPr>
        <w:t>Para el efecto, se estableció la siguiente ruta metodológica de recolección de información</w:t>
      </w:r>
      <w:r w:rsidRPr="0067008A">
        <w:rPr>
          <w:rFonts w:ascii="Times New Roman" w:hAnsi="Times New Roman" w:cs="Times New Roman"/>
        </w:rPr>
        <w:t xml:space="preserve">: (i) Revisión de doctrina, leyes y normas conexas al objeto de la investigación. (ii) Revisión de la información divulgada por el Consorcio Internacional de Periodistas de Investigación y el diario el Universo. (iii) Revisión de fuentes internacionales sobre el caso Pandora Papers. (iv) Revisión de la información técnica (declaraciones juramentadas, declaraciones tributarias en el tiempo) (v) Revisión de la información conexa a la investigación. (vi) Revisión de la investigación sobre los efectos de los paraísos fiscales previo al feriado bancario (estudio elaborado en 1999, por terceros, AGD). (vii) Revisión de estudios estadísticos sobre el impacto de los paraísos fiscales en la región. (viii) Comparecencia de autoridades públicas, expertos y personas involucradas con la materia de la investigación. </w:t>
      </w:r>
    </w:p>
    <w:p w:rsidR="00C64166" w:rsidRPr="0067008A" w:rsidRDefault="00921711" w:rsidP="00C64166">
      <w:pPr>
        <w:spacing w:after="240" w:line="360" w:lineRule="auto"/>
        <w:jc w:val="both"/>
        <w:rPr>
          <w:rFonts w:ascii="Times New Roman" w:hAnsi="Times New Roman" w:cs="Times New Roman"/>
          <w:b/>
        </w:rPr>
      </w:pPr>
      <w:r w:rsidRPr="0067008A">
        <w:rPr>
          <w:rFonts w:ascii="Times New Roman" w:hAnsi="Times New Roman" w:cs="Times New Roman"/>
          <w:b/>
        </w:rPr>
        <w:t>Sistematización de la información</w:t>
      </w:r>
    </w:p>
    <w:p w:rsidR="006A4D59" w:rsidRPr="0067008A" w:rsidRDefault="00921711" w:rsidP="00C64166">
      <w:pPr>
        <w:spacing w:after="240" w:line="360" w:lineRule="auto"/>
        <w:jc w:val="both"/>
        <w:rPr>
          <w:rFonts w:ascii="Times New Roman" w:hAnsi="Times New Roman" w:cs="Times New Roman"/>
          <w:b/>
        </w:rPr>
      </w:pPr>
      <w:r w:rsidRPr="0067008A">
        <w:rPr>
          <w:rFonts w:ascii="Times New Roman" w:hAnsi="Times New Roman" w:cs="Times New Roman"/>
        </w:rPr>
        <w:t>La sistematización de la información se realizó siguiendo tres líneas: (i) línea de tiempo de los acontecimientos, (ii) la ubicación de las entidades financieras y sus conexiones, (iii) la relación con las normas legales pertinentes.</w:t>
      </w:r>
    </w:p>
    <w:p w:rsidR="006A4D59" w:rsidRPr="0067008A" w:rsidRDefault="00921711" w:rsidP="00F4528A">
      <w:pPr>
        <w:pStyle w:val="Prrafodelista"/>
        <w:numPr>
          <w:ilvl w:val="0"/>
          <w:numId w:val="15"/>
        </w:numPr>
        <w:spacing w:after="240" w:line="360" w:lineRule="auto"/>
        <w:jc w:val="both"/>
      </w:pPr>
      <w:r w:rsidRPr="0067008A">
        <w:rPr>
          <w:b/>
        </w:rPr>
        <w:t>A</w:t>
      </w:r>
      <w:r w:rsidR="00323AB1" w:rsidRPr="0067008A">
        <w:rPr>
          <w:b/>
        </w:rPr>
        <w:t>NÁLISIS</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El análisis de la información permitió establecer los hallazgos fundamentados respecto a la pregunta central de la existencia o no de responsabilidades del Presidente Guillermo Lasso</w:t>
      </w:r>
      <w:r w:rsidR="00FB6973" w:rsidRPr="0067008A">
        <w:rPr>
          <w:rFonts w:ascii="Times New Roman" w:hAnsi="Times New Roman" w:cs="Times New Roman"/>
        </w:rPr>
        <w:t xml:space="preserve"> Mendoza</w:t>
      </w:r>
      <w:r w:rsidRPr="0067008A">
        <w:rPr>
          <w:rFonts w:ascii="Times New Roman" w:hAnsi="Times New Roman" w:cs="Times New Roman"/>
        </w:rPr>
        <w:t xml:space="preserve"> en el origen, propiedad y movimiento de bienes tanto en referencia a las disposiciones legales vigentes en el país, como a las exigencias de las normas éticas de los servidores públicos.</w:t>
      </w:r>
    </w:p>
    <w:p w:rsidR="006A4D59" w:rsidRPr="0067008A" w:rsidRDefault="0022364C" w:rsidP="00677E33">
      <w:pPr>
        <w:spacing w:after="240" w:line="360" w:lineRule="auto"/>
        <w:jc w:val="both"/>
        <w:rPr>
          <w:rFonts w:ascii="Times New Roman" w:hAnsi="Times New Roman" w:cs="Times New Roman"/>
        </w:rPr>
      </w:pPr>
      <w:r w:rsidRPr="0067008A">
        <w:rPr>
          <w:rFonts w:ascii="Times New Roman" w:hAnsi="Times New Roman" w:cs="Times New Roman"/>
          <w:color w:val="212121"/>
          <w:highlight w:val="white"/>
        </w:rPr>
        <w:t>En este contexto, e</w:t>
      </w:r>
      <w:r w:rsidR="00921711" w:rsidRPr="0067008A">
        <w:rPr>
          <w:rFonts w:ascii="Times New Roman" w:hAnsi="Times New Roman" w:cs="Times New Roman"/>
          <w:color w:val="212121"/>
          <w:highlight w:val="white"/>
        </w:rPr>
        <w:t xml:space="preserve">l 08 de octubre de 2021, mediante memorando Nro. AN-CGDI-2021-0190-M, el Presidente de la Comisión Especializada de Garantías Constitucionales, Derechos Humanos, Derechos Colectivos y la Interculturalidad (en adelante la Comisión) solicitó al señor Fernando Villavicencio, en calidad de Presidente de la Comisión Especializada Permanente de Fiscalización y Control Político que </w:t>
      </w:r>
      <w:r w:rsidR="00921711" w:rsidRPr="0067008A">
        <w:rPr>
          <w:rFonts w:ascii="Times New Roman" w:hAnsi="Times New Roman" w:cs="Times New Roman"/>
          <w:i/>
          <w:color w:val="212121"/>
          <w:highlight w:val="white"/>
        </w:rPr>
        <w:t>“(…) con carácter de urgente e inmediato, se remita a esta Comisión Especializada Permanente toda la información relacionada al caso de la referencia”.</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color w:val="212121"/>
          <w:highlight w:val="white"/>
        </w:rPr>
        <w:t>Con fecha 20 de octubre de 2021, el señor Fernando Alcibíades Villavicencio Valencia, como Presidente de la Comisión Especializada Permanente de Fiscalización y Control Político, remitió el memorando Nro. AN-CFCP-2021-0348-M, a través del cual da contestación al pedido efectuado por esta Comisión. En lo principal, el señor Villavicencio remitió un expediente conformado por dos oficios, cuyo contenido es un oficio dirigido al Presidente de la República solicitando información sobre los hechos expuestos por ICIJ; y la respuesta del señor Guillermo Lasso invitando a la Comisión al Palacio de Carondelet para que sea consultado sobre los asuntos referidos. Se deja constancia que</w:t>
      </w:r>
      <w:r w:rsidR="00677E33" w:rsidRPr="0067008A">
        <w:rPr>
          <w:rFonts w:ascii="Times New Roman" w:hAnsi="Times New Roman" w:cs="Times New Roman"/>
          <w:color w:val="212121"/>
          <w:highlight w:val="white"/>
        </w:rPr>
        <w:t xml:space="preserve"> </w:t>
      </w:r>
      <w:r w:rsidRPr="0067008A">
        <w:rPr>
          <w:rFonts w:ascii="Times New Roman" w:hAnsi="Times New Roman" w:cs="Times New Roman"/>
          <w:color w:val="212121"/>
          <w:highlight w:val="white"/>
        </w:rPr>
        <w:t xml:space="preserve">esos fueron los únicos documentos remitidos por el Presidente de la Comisión Especializada Permanente de Fiscalización y Control Político. </w:t>
      </w:r>
    </w:p>
    <w:p w:rsidR="00D27652" w:rsidRPr="0067008A" w:rsidRDefault="00D27652"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En el marco de esta investigación, la Comisión Especializada Permanente de Garantías Constitucionales, Derechos Humanos, Derechos Colectivos y la Interculturalidad, efectuó las siguientes sesiones: </w:t>
      </w:r>
    </w:p>
    <w:p w:rsidR="006A4D59" w:rsidRPr="0067008A" w:rsidRDefault="00921711" w:rsidP="00677E33">
      <w:pPr>
        <w:pStyle w:val="Prrafodelista"/>
        <w:numPr>
          <w:ilvl w:val="0"/>
          <w:numId w:val="39"/>
        </w:numPr>
        <w:spacing w:after="240" w:line="360" w:lineRule="auto"/>
        <w:jc w:val="both"/>
        <w:rPr>
          <w:b/>
        </w:rPr>
      </w:pPr>
      <w:r w:rsidRPr="0067008A">
        <w:rPr>
          <w:b/>
        </w:rPr>
        <w:t xml:space="preserve">Sesión 030-2021: Conocimiento de la Resolución RL-2021-2023-032 de 07 de octubre de 2021 emitida y aprobada por el Pleno de la Asamblea Nacional </w:t>
      </w:r>
    </w:p>
    <w:p w:rsidR="00D27652" w:rsidRPr="0067008A" w:rsidRDefault="00921711" w:rsidP="00D27652">
      <w:pPr>
        <w:spacing w:after="240" w:line="360" w:lineRule="auto"/>
        <w:jc w:val="both"/>
        <w:rPr>
          <w:rFonts w:ascii="Times New Roman" w:hAnsi="Times New Roman" w:cs="Times New Roman"/>
        </w:rPr>
      </w:pPr>
      <w:r w:rsidRPr="0067008A">
        <w:rPr>
          <w:rFonts w:ascii="Times New Roman" w:hAnsi="Times New Roman" w:cs="Times New Roman"/>
        </w:rPr>
        <w:t>El 11 de octubre de 2021, el Presidente de la Comisión convocó a las y los asambleístas miembros a la Sesión Ordinaria Nro. 30. En esta sesión se avocó conocimiento de la Resolución Nro. RL-2021-2023-032 de 07 de octubre de 2021, emitida por el Pleno de la Asamblea Nacional. A su vez se solicitó a los y las asambleístas que remitan sus aportes para la construcción del plan de trabajo</w:t>
      </w:r>
      <w:r w:rsidR="00677E33" w:rsidRPr="0067008A">
        <w:rPr>
          <w:rFonts w:ascii="Times New Roman" w:hAnsi="Times New Roman" w:cs="Times New Roman"/>
        </w:rPr>
        <w:t xml:space="preserve"> </w:t>
      </w:r>
      <w:r w:rsidRPr="0067008A">
        <w:rPr>
          <w:rFonts w:ascii="Times New Roman" w:hAnsi="Times New Roman" w:cs="Times New Roman"/>
        </w:rPr>
        <w:t>para la ejecución de la investigación dentro del caso denominado “</w:t>
      </w:r>
      <w:r w:rsidR="00D27652" w:rsidRPr="0067008A">
        <w:rPr>
          <w:rFonts w:ascii="Times New Roman" w:hAnsi="Times New Roman" w:cs="Times New Roman"/>
        </w:rPr>
        <w:t>PANDORA PAPERS</w:t>
      </w:r>
      <w:r w:rsidRPr="0067008A">
        <w:rPr>
          <w:rFonts w:ascii="Times New Roman" w:hAnsi="Times New Roman" w:cs="Times New Roman"/>
        </w:rPr>
        <w:t>”</w:t>
      </w:r>
      <w:r w:rsidR="00D27652" w:rsidRPr="0067008A">
        <w:rPr>
          <w:rFonts w:ascii="Times New Roman" w:hAnsi="Times New Roman" w:cs="Times New Roman"/>
        </w:rPr>
        <w:t xml:space="preserve">. </w:t>
      </w:r>
    </w:p>
    <w:p w:rsidR="006A4D59" w:rsidRPr="0067008A" w:rsidRDefault="00921711" w:rsidP="00D27652">
      <w:pPr>
        <w:pStyle w:val="Prrafodelista"/>
        <w:numPr>
          <w:ilvl w:val="0"/>
          <w:numId w:val="39"/>
        </w:numPr>
        <w:spacing w:after="240" w:line="360" w:lineRule="auto"/>
        <w:jc w:val="both"/>
        <w:rPr>
          <w:b/>
        </w:rPr>
      </w:pPr>
      <w:r w:rsidRPr="0067008A">
        <w:rPr>
          <w:b/>
        </w:rPr>
        <w:t>Sesión 031-2021: Aprobación del Plan de Trabajo de Investigació</w:t>
      </w:r>
      <w:r w:rsidR="005828D9" w:rsidRPr="0067008A">
        <w:rPr>
          <w:b/>
        </w:rPr>
        <w:t>n</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El 13 de octubre de 2021, durante la sesión ordinaria Nro. 31, los miembros de la Comisión aprobaron el plan de trabajo de la investigación del caso denominado “Pandora Papers”. Cabe señalar, que conforme la moción presentada por el asambleísta Mario Ruiz y aprobada por el pleno de la Comisión, se resolvió que dicho cronograma sería abierto y podía estar sujeto a cambios, de conformidad con el desarrollo de las actividades y la necesidad de recibir a más personas naturales o jurídicas para la recopilación de la información que sea necesaria. </w:t>
      </w:r>
    </w:p>
    <w:p w:rsidR="006A4D59" w:rsidRPr="0067008A" w:rsidRDefault="00921711" w:rsidP="00F4528A">
      <w:pPr>
        <w:pStyle w:val="Prrafodelista"/>
        <w:numPr>
          <w:ilvl w:val="0"/>
          <w:numId w:val="39"/>
        </w:numPr>
        <w:spacing w:after="240" w:line="360" w:lineRule="auto"/>
      </w:pPr>
      <w:r w:rsidRPr="0067008A">
        <w:rPr>
          <w:b/>
        </w:rPr>
        <w:t>Sesión 032-2021: Comisión General para recibir ponencias de expertos y academia</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El 18 de octubre de 2021, en la Sesión Ordinaria Nro. 32, la Comisión recibió a varios expertos de la academia, a fin de requerir su experticia</w:t>
      </w:r>
      <w:r w:rsidR="00EF3898" w:rsidRPr="0067008A">
        <w:rPr>
          <w:rFonts w:ascii="Times New Roman" w:hAnsi="Times New Roman" w:cs="Times New Roman"/>
        </w:rPr>
        <w:t xml:space="preserve"> con</w:t>
      </w:r>
      <w:r w:rsidRPr="0067008A">
        <w:rPr>
          <w:rFonts w:ascii="Times New Roman" w:hAnsi="Times New Roman" w:cs="Times New Roman"/>
        </w:rPr>
        <w:t xml:space="preserve"> relación a los hechos relacionados con el caso</w:t>
      </w:r>
      <w:r w:rsidR="00EF3898" w:rsidRPr="0067008A">
        <w:rPr>
          <w:rFonts w:ascii="Times New Roman" w:hAnsi="Times New Roman" w:cs="Times New Roman"/>
        </w:rPr>
        <w:t xml:space="preserve"> denominado</w:t>
      </w:r>
      <w:r w:rsidRPr="0067008A">
        <w:rPr>
          <w:rFonts w:ascii="Times New Roman" w:hAnsi="Times New Roman" w:cs="Times New Roman"/>
        </w:rPr>
        <w:t xml:space="preserve"> “</w:t>
      </w:r>
      <w:r w:rsidR="00EF3898" w:rsidRPr="0067008A">
        <w:rPr>
          <w:rFonts w:ascii="Times New Roman" w:hAnsi="Times New Roman" w:cs="Times New Roman"/>
        </w:rPr>
        <w:t xml:space="preserve">PANDORA PAPERS”. </w:t>
      </w:r>
      <w:r w:rsidRPr="0067008A">
        <w:rPr>
          <w:rFonts w:ascii="Times New Roman" w:hAnsi="Times New Roman" w:cs="Times New Roman"/>
        </w:rPr>
        <w:t>En el marco de esta sesión, la Comisión recibió las ponencias de: Carlos Pontón, experto tributario; Alfonso Zambrano, experto en derecho económico y tributario; y Wilma Salgado, economista. Si bien en el cronograma constaba la ponencia del Abg. Rodrigo Cordero Moscoso, esta no se llevó a cabo debido a que los legisladores cuestionaron su idoneidad</w:t>
      </w:r>
      <w:r w:rsidR="00EF3898" w:rsidRPr="0067008A">
        <w:rPr>
          <w:rFonts w:ascii="Times New Roman" w:hAnsi="Times New Roman" w:cs="Times New Roman"/>
        </w:rPr>
        <w:t xml:space="preserve">, así como la falta de imparcialidad, </w:t>
      </w:r>
      <w:r w:rsidRPr="0067008A">
        <w:rPr>
          <w:rFonts w:ascii="Times New Roman" w:hAnsi="Times New Roman" w:cs="Times New Roman"/>
        </w:rPr>
        <w:t>por estar relacionado a la constitución de empresas offshore en paraísos fiscales, conforme los hechos expuestos en la investigación denominada Panamá Papers</w:t>
      </w:r>
      <w:r w:rsidR="00EF3898" w:rsidRPr="0067008A">
        <w:rPr>
          <w:rFonts w:ascii="Times New Roman" w:hAnsi="Times New Roman" w:cs="Times New Roman"/>
        </w:rPr>
        <w:t xml:space="preserve">; y, por tener un grado de parentesco con una de las legisladoras de la Asamblea Nacional, quien a su vez, sería </w:t>
      </w:r>
      <w:r w:rsidR="00303A2B" w:rsidRPr="0067008A">
        <w:rPr>
          <w:rFonts w:ascii="Times New Roman" w:hAnsi="Times New Roman" w:cs="Times New Roman"/>
        </w:rPr>
        <w:t>cónyuge</w:t>
      </w:r>
      <w:r w:rsidR="00EF3898" w:rsidRPr="0067008A">
        <w:rPr>
          <w:rFonts w:ascii="Times New Roman" w:hAnsi="Times New Roman" w:cs="Times New Roman"/>
        </w:rPr>
        <w:t xml:space="preserve"> del Secretario Jurídico de la Presidencia. </w:t>
      </w:r>
      <w:r w:rsidRPr="0067008A">
        <w:rPr>
          <w:rFonts w:ascii="Times New Roman" w:hAnsi="Times New Roman" w:cs="Times New Roman"/>
        </w:rPr>
        <w:t xml:space="preserve">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Los académicos explicaron sobre la dinámica de funcionamiento de los paraísos fiscales, sobre la ausencia de un régimen tributario en estas jurisdicciones y las prácticas de simulación de actos y negocios jurídicos. Sobre este último punto, recalcaron la problemática que representan estas prácticas para la administración tributaria, pues todo acto jurídico genera un efecto tributario. En este sentido, los académicos hicieron especial énfasis en principios como el de la primacía de la realidad de los actos, por su naturaleza económica, más allá de su denominación jurídica.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Los expertos coincidieron en que el listado de paraísos fiscales expedido por el Servicio de Rentas Internas no es taxativo y limitante, pues existen condiciones que permiten calificar a las jurisdicciones </w:t>
      </w:r>
      <w:r w:rsidR="002639B5" w:rsidRPr="0067008A">
        <w:rPr>
          <w:rFonts w:ascii="Times New Roman" w:hAnsi="Times New Roman" w:cs="Times New Roman"/>
        </w:rPr>
        <w:t xml:space="preserve">como </w:t>
      </w:r>
      <w:r w:rsidRPr="0067008A">
        <w:rPr>
          <w:rFonts w:ascii="Times New Roman" w:hAnsi="Times New Roman" w:cs="Times New Roman"/>
        </w:rPr>
        <w:t>paraísos fiscales</w:t>
      </w:r>
      <w:r w:rsidR="002639B5" w:rsidRPr="0067008A">
        <w:rPr>
          <w:rFonts w:ascii="Times New Roman" w:hAnsi="Times New Roman" w:cs="Times New Roman"/>
        </w:rPr>
        <w:t>. E</w:t>
      </w:r>
      <w:r w:rsidRPr="0067008A">
        <w:rPr>
          <w:rFonts w:ascii="Times New Roman" w:hAnsi="Times New Roman" w:cs="Times New Roman"/>
        </w:rPr>
        <w:t xml:space="preserve">stas </w:t>
      </w:r>
      <w:r w:rsidR="002639B5" w:rsidRPr="0067008A">
        <w:rPr>
          <w:rFonts w:ascii="Times New Roman" w:hAnsi="Times New Roman" w:cs="Times New Roman"/>
        </w:rPr>
        <w:t xml:space="preserve">condiciones </w:t>
      </w:r>
      <w:r w:rsidRPr="0067008A">
        <w:rPr>
          <w:rFonts w:ascii="Times New Roman" w:hAnsi="Times New Roman" w:cs="Times New Roman"/>
        </w:rPr>
        <w:t xml:space="preserve">son: i) ausencia de un régimen impositivo, o que su tasa sea inferior al sesenta por ciento en relación al Ecuador; ii) falta de transparencia; y, iii) Imposibilidad de intercambio de información. Otra coincidencia de los expertos fue su reflexión respecto a cuál es el problema de fondo que generan estas prácticas: la disminución de obra social y la garantía de derechos, todo en perjuicio de las y los ciudadanos. </w:t>
      </w:r>
    </w:p>
    <w:p w:rsidR="006A4D59" w:rsidRPr="0067008A" w:rsidRDefault="00921711" w:rsidP="00677E33">
      <w:pPr>
        <w:pStyle w:val="Prrafodelista"/>
        <w:numPr>
          <w:ilvl w:val="0"/>
          <w:numId w:val="39"/>
        </w:numPr>
        <w:spacing w:after="240" w:line="360" w:lineRule="auto"/>
        <w:jc w:val="both"/>
      </w:pPr>
      <w:r w:rsidRPr="0067008A">
        <w:rPr>
          <w:b/>
        </w:rPr>
        <w:t>Sesión 033-2021: Invitación a los medios de comunicación</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El 18 de octubre de 2021, en la sesión ordinaria Nro. 33, la Comisión convocó a varios medios de comunicación y periodistas para que informen sobre lo relativo al caso “</w:t>
      </w:r>
      <w:r w:rsidR="003F7E3D" w:rsidRPr="0067008A">
        <w:rPr>
          <w:rFonts w:ascii="Times New Roman" w:hAnsi="Times New Roman" w:cs="Times New Roman"/>
        </w:rPr>
        <w:t>PANDORA PAPERS</w:t>
      </w:r>
      <w:r w:rsidRPr="0067008A">
        <w:rPr>
          <w:rFonts w:ascii="Times New Roman" w:hAnsi="Times New Roman" w:cs="Times New Roman"/>
        </w:rPr>
        <w:t xml:space="preserve">”. A la sesión únicamente asistió la periodista Cinthya García, ex miembro del diario argentino Página 12. La periodista estableció un hilo narrativo sobre sus investigaciones descritas como: ​​“Lasso, el magnate de las offshore”, </w:t>
      </w:r>
      <w:hyperlink r:id="rId8">
        <w:r w:rsidRPr="0067008A">
          <w:rPr>
            <w:rStyle w:val="ListLabel185"/>
            <w:sz w:val="22"/>
            <w:szCs w:val="22"/>
            <w:highlight w:val="none"/>
          </w:rPr>
          <w:t>Las mamushkas financieras de Lasso</w:t>
        </w:r>
      </w:hyperlink>
      <w:r w:rsidRPr="0067008A">
        <w:rPr>
          <w:rFonts w:ascii="Times New Roman" w:hAnsi="Times New Roman" w:cs="Times New Roman"/>
        </w:rPr>
        <w:t xml:space="preserve">, y el “Buitre Interno”; en las cuales aparece por varias ocasiones el señor Guillermo Lasso y personalidades de su grupo económico, relacionados a entramados offshore, inclusive desde 1999. </w:t>
      </w:r>
    </w:p>
    <w:p w:rsidR="006A4D59" w:rsidRPr="0067008A" w:rsidRDefault="00921711" w:rsidP="00497B23">
      <w:pPr>
        <w:pStyle w:val="Prrafodelista"/>
        <w:numPr>
          <w:ilvl w:val="0"/>
          <w:numId w:val="39"/>
        </w:numPr>
        <w:spacing w:after="240" w:line="360" w:lineRule="auto"/>
        <w:jc w:val="both"/>
      </w:pPr>
      <w:r w:rsidRPr="0067008A">
        <w:rPr>
          <w:b/>
        </w:rPr>
        <w:t xml:space="preserve">Sesión 034-2021: Invitación a las personas relacionadas al caso “Pandora Papers”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El 23 de octubre de 2021, la Comisión convocó a las personas relacionadas con la investigación de este caso denominado </w:t>
      </w:r>
      <w:r w:rsidR="003F7E3D" w:rsidRPr="0067008A">
        <w:rPr>
          <w:rFonts w:ascii="Times New Roman" w:hAnsi="Times New Roman" w:cs="Times New Roman"/>
        </w:rPr>
        <w:t>"PANDORA PAPERS</w:t>
      </w:r>
      <w:r w:rsidRPr="0067008A">
        <w:rPr>
          <w:rFonts w:ascii="Times New Roman" w:hAnsi="Times New Roman" w:cs="Times New Roman"/>
        </w:rPr>
        <w:t xml:space="preserve">", con el objetivo de que brinden información sobre los hechos revelados en la investigación periodística y sus vinculaciones con las empresas offshore relacionadas con el Primer Mandatario.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Dentro de la Sesión Ordinaria Nro. 34,</w:t>
      </w:r>
      <w:r w:rsidR="003F7E3D" w:rsidRPr="0067008A">
        <w:rPr>
          <w:rFonts w:ascii="Times New Roman" w:hAnsi="Times New Roman" w:cs="Times New Roman"/>
        </w:rPr>
        <w:t xml:space="preserve"> </w:t>
      </w:r>
      <w:r w:rsidRPr="0067008A">
        <w:rPr>
          <w:rFonts w:ascii="Times New Roman" w:hAnsi="Times New Roman" w:cs="Times New Roman"/>
        </w:rPr>
        <w:t xml:space="preserve"> fueron convocados las siguientes personas: Ab. Roger Arosemena Benítez, Notario del cantón Guayaquil, quien ha dado fé de los actos y contratos del señor Guillermo Lasso; María Lourdes Alcívar de Lasso, cónyuge del señor Guillermo Lasso; Santiago Xavier Lasso Alcívar, hijo del señor Guillermo Lasso; Jaime Durán Barba, asesor político del señor Guillermo Lasso; Arturo Serrano Salgado, director de empresas vinculadas a Guillermo Lasso; Miguel Macías Yerovi y Euvenia Touriz Mawyin, ex directivos de Banco de Guayaquil y actuales directores y socios en varias sociedades vinculadas al señor Guillermo Lasso.</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En el caso del Ab. Roger Arosemena Benítez, Notario del cantón Guayaquil, no compareció a la sesión. Mediante correo electrónico con fecha 23 de octubre de 2021, el Ab. Roger Arosemena Benítez, se excusó refiriendo que tenía una licencia por enfermedad. </w:t>
      </w:r>
    </w:p>
    <w:p w:rsidR="006A4D59" w:rsidRPr="0067008A" w:rsidRDefault="006A4D59" w:rsidP="00677E33">
      <w:pPr>
        <w:spacing w:after="240" w:line="360" w:lineRule="auto"/>
        <w:jc w:val="both"/>
        <w:rPr>
          <w:rFonts w:ascii="Times New Roman" w:hAnsi="Times New Roman" w:cs="Times New Roman"/>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En relación a la señora María Lourdes Alcívar y su hijo Santiago Xavier Lasso Alcívar, ingresaron un oficio S/N, de fecha 19 de octubre del 2021 suscrito conjuntamente con su abogado Eduardo Carmigniani, en el cual exponen textualmente:</w:t>
      </w:r>
    </w:p>
    <w:p w:rsidR="006A4D59" w:rsidRPr="0067008A" w:rsidRDefault="00921711" w:rsidP="003F7E3D">
      <w:pPr>
        <w:spacing w:after="240" w:line="360" w:lineRule="auto"/>
        <w:ind w:left="720"/>
        <w:jc w:val="both"/>
        <w:rPr>
          <w:rFonts w:ascii="Times New Roman" w:hAnsi="Times New Roman" w:cs="Times New Roman"/>
          <w:i/>
        </w:rPr>
      </w:pPr>
      <w:r w:rsidRPr="0067008A">
        <w:rPr>
          <w:rFonts w:ascii="Times New Roman" w:hAnsi="Times New Roman" w:cs="Times New Roman"/>
          <w:i/>
        </w:rPr>
        <w:t xml:space="preserve"> “No siendo funcionarios públicos, no estamos obligados a atender dicha invitación, de conformidad con lo establecido en los artículos 120, 9, de la Constitución y 75 de la Ley Orgánica de la Función Legislativa.</w:t>
      </w:r>
    </w:p>
    <w:p w:rsidR="006A4D59" w:rsidRPr="0067008A" w:rsidRDefault="00921711" w:rsidP="003F7E3D">
      <w:pPr>
        <w:spacing w:after="240" w:line="360" w:lineRule="auto"/>
        <w:ind w:left="720"/>
        <w:jc w:val="both"/>
        <w:rPr>
          <w:rFonts w:ascii="Times New Roman" w:hAnsi="Times New Roman" w:cs="Times New Roman"/>
        </w:rPr>
      </w:pPr>
      <w:r w:rsidRPr="0067008A">
        <w:rPr>
          <w:rFonts w:ascii="Times New Roman" w:hAnsi="Times New Roman" w:cs="Times New Roman"/>
          <w:i/>
        </w:rPr>
        <w:t>Sin embargo, pese a que en su citado oficio se ha establecido, sin razón aparente que la invitación que se nos ha hecho es “indelegable”, estamos dispuestos a que nuestro abogado Eduardo Carmigniani Valencia, quien suscribe con nosotros, comparezca en nuestro nombre si la Comisión lo estima procedente, para lo cual deberá señalar cualquier día de la próxima semana</w:t>
      </w:r>
      <w:r w:rsidRPr="0067008A">
        <w:rPr>
          <w:rFonts w:ascii="Times New Roman" w:hAnsi="Times New Roman" w:cs="Times New Roman"/>
        </w:rPr>
        <w:t xml:space="preserve">”.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Dentro de la Ley Orgánica de la Función Legislativa consta el Capítulo VIII en cual se establecen las normas DE LA FISCALIZACIÓN Y CONTROL POLÍTICO en la Asamblea Nacional. En este sentido, el artículo 75 de la citada normativa legal determina que las y los asambleístas directamente o las comisiones especializadas tienen la facultad de requerir información o comparecencias a las y los funcionarios detallados en los artículos 120 numeral 9, 225 y 131 de la Constitución de la República. Por lo que, si bien es cierto, las personas invitadas no están obligadas legalmente en atender el requerimiento realizado por la Comisión, y asistir el día y hora convocada para proporcionar información ya que no son funcionarios públicos.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La Comisión encargada de fiscalizar e investigar este caso, estimó pertinente que con el fin de obtener información y garantizar espacios de transparencia, acceso a la información, y otorgar la oportunidad a las personas invitadas para que ejerzan su derecho de participación en este espacio de control político. </w:t>
      </w:r>
      <w:r w:rsidRPr="0067008A">
        <w:rPr>
          <w:rFonts w:ascii="Times New Roman" w:hAnsi="Times New Roman" w:cs="Times New Roman"/>
          <w:b/>
        </w:rPr>
        <w:t xml:space="preserve"> </w:t>
      </w:r>
    </w:p>
    <w:p w:rsidR="006A4D59" w:rsidRPr="0067008A" w:rsidRDefault="00921711" w:rsidP="00497B23">
      <w:pPr>
        <w:pStyle w:val="Prrafodelista"/>
        <w:numPr>
          <w:ilvl w:val="0"/>
          <w:numId w:val="39"/>
        </w:numPr>
        <w:spacing w:after="240" w:line="360" w:lineRule="auto"/>
        <w:jc w:val="both"/>
      </w:pPr>
      <w:r w:rsidRPr="0067008A">
        <w:rPr>
          <w:b/>
        </w:rPr>
        <w:t xml:space="preserve">Sesión 035-2021: Primera solicitud de comparecencia del señor Presidente Constitucional de la República del Ecuador, Guillermo Lasso Medoza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El 20 de octubre de 2021, la Comisión convocó al Presidente Constitucional de la República, Guillermo Lasso</w:t>
      </w:r>
      <w:r w:rsidR="00A67256" w:rsidRPr="0067008A">
        <w:rPr>
          <w:rFonts w:ascii="Times New Roman" w:hAnsi="Times New Roman" w:cs="Times New Roman"/>
        </w:rPr>
        <w:t xml:space="preserve"> Mendoza</w:t>
      </w:r>
      <w:r w:rsidRPr="0067008A">
        <w:rPr>
          <w:rFonts w:ascii="Times New Roman" w:hAnsi="Times New Roman" w:cs="Times New Roman"/>
        </w:rPr>
        <w:t xml:space="preserve">, para que </w:t>
      </w:r>
      <w:r w:rsidR="00A67256" w:rsidRPr="0067008A">
        <w:rPr>
          <w:rFonts w:ascii="Times New Roman" w:hAnsi="Times New Roman" w:cs="Times New Roman"/>
        </w:rPr>
        <w:t>comparezca a</w:t>
      </w:r>
      <w:r w:rsidRPr="0067008A">
        <w:rPr>
          <w:rFonts w:ascii="Times New Roman" w:hAnsi="Times New Roman" w:cs="Times New Roman"/>
        </w:rPr>
        <w:t xml:space="preserve"> la sesión ordinaria Nro. 35</w:t>
      </w:r>
      <w:r w:rsidR="00A67256" w:rsidRPr="0067008A">
        <w:rPr>
          <w:rFonts w:ascii="Times New Roman" w:hAnsi="Times New Roman" w:cs="Times New Roman"/>
        </w:rPr>
        <w:t xml:space="preserve"> y </w:t>
      </w:r>
      <w:r w:rsidRPr="0067008A">
        <w:rPr>
          <w:rFonts w:ascii="Times New Roman" w:hAnsi="Times New Roman" w:cs="Times New Roman"/>
        </w:rPr>
        <w:t xml:space="preserve">exponga sobre los hechos que presuntamente lo vinculan a la investigación denominada </w:t>
      </w:r>
      <w:r w:rsidR="00A67256" w:rsidRPr="0067008A">
        <w:rPr>
          <w:rFonts w:ascii="Times New Roman" w:hAnsi="Times New Roman" w:cs="Times New Roman"/>
        </w:rPr>
        <w:t>“PANDORA PAPERS”</w:t>
      </w:r>
      <w:r w:rsidRPr="0067008A">
        <w:rPr>
          <w:rFonts w:ascii="Times New Roman" w:hAnsi="Times New Roman" w:cs="Times New Roman"/>
        </w:rPr>
        <w:t>. El 22 de octubre de 2021, la Comisión efectuó una segunda convocatoria</w:t>
      </w:r>
      <w:r w:rsidR="00A67256" w:rsidRPr="0067008A">
        <w:rPr>
          <w:rFonts w:ascii="Times New Roman" w:hAnsi="Times New Roman" w:cs="Times New Roman"/>
        </w:rPr>
        <w:t xml:space="preserve"> a</w:t>
      </w:r>
      <w:r w:rsidRPr="0067008A">
        <w:rPr>
          <w:rFonts w:ascii="Times New Roman" w:hAnsi="Times New Roman" w:cs="Times New Roman"/>
        </w:rPr>
        <w:t xml:space="preserve">l Presidente de la República del Ecuador </w:t>
      </w:r>
      <w:r w:rsidR="00A67256" w:rsidRPr="0067008A">
        <w:rPr>
          <w:rFonts w:ascii="Times New Roman" w:hAnsi="Times New Roman" w:cs="Times New Roman"/>
        </w:rPr>
        <w:t xml:space="preserve">para su </w:t>
      </w:r>
      <w:r w:rsidRPr="0067008A">
        <w:rPr>
          <w:rFonts w:ascii="Times New Roman" w:hAnsi="Times New Roman" w:cs="Times New Roman"/>
        </w:rPr>
        <w:t>compare</w:t>
      </w:r>
      <w:r w:rsidR="00A67256" w:rsidRPr="0067008A">
        <w:rPr>
          <w:rFonts w:ascii="Times New Roman" w:hAnsi="Times New Roman" w:cs="Times New Roman"/>
        </w:rPr>
        <w:t>cencia</w:t>
      </w:r>
      <w:r w:rsidRPr="0067008A">
        <w:rPr>
          <w:rFonts w:ascii="Times New Roman" w:hAnsi="Times New Roman" w:cs="Times New Roman"/>
        </w:rPr>
        <w:t xml:space="preserve"> ante la Comisión de la Asamblea Nacional</w:t>
      </w:r>
      <w:r w:rsidR="00A67256" w:rsidRPr="0067008A">
        <w:rPr>
          <w:rFonts w:ascii="Times New Roman" w:hAnsi="Times New Roman" w:cs="Times New Roman"/>
        </w:rPr>
        <w:t xml:space="preserve"> y de esta forma explique</w:t>
      </w:r>
      <w:r w:rsidRPr="0067008A">
        <w:rPr>
          <w:rFonts w:ascii="Times New Roman" w:hAnsi="Times New Roman" w:cs="Times New Roman"/>
        </w:rPr>
        <w:t xml:space="preserve"> al pueblo ecuatoriano su relación con los hechos referidos</w:t>
      </w:r>
      <w:r w:rsidR="00A67256" w:rsidRPr="0067008A">
        <w:rPr>
          <w:rFonts w:ascii="Times New Roman" w:hAnsi="Times New Roman" w:cs="Times New Roman"/>
        </w:rPr>
        <w:t xml:space="preserve"> en la presente investigación</w:t>
      </w:r>
      <w:r w:rsidRPr="0067008A">
        <w:rPr>
          <w:rFonts w:ascii="Times New Roman" w:hAnsi="Times New Roman" w:cs="Times New Roman"/>
        </w:rPr>
        <w:t>. En la misma fecha el señor Guillermo Lasso</w:t>
      </w:r>
      <w:r w:rsidR="00A67256" w:rsidRPr="0067008A">
        <w:rPr>
          <w:rFonts w:ascii="Times New Roman" w:hAnsi="Times New Roman" w:cs="Times New Roman"/>
        </w:rPr>
        <w:t xml:space="preserve"> Mendoza</w:t>
      </w:r>
      <w:r w:rsidRPr="0067008A">
        <w:rPr>
          <w:rFonts w:ascii="Times New Roman" w:hAnsi="Times New Roman" w:cs="Times New Roman"/>
        </w:rPr>
        <w:t>, en calidad de Presidente</w:t>
      </w:r>
      <w:r w:rsidR="00A67256" w:rsidRPr="0067008A">
        <w:rPr>
          <w:rFonts w:ascii="Times New Roman" w:hAnsi="Times New Roman" w:cs="Times New Roman"/>
        </w:rPr>
        <w:t xml:space="preserve"> de la República del Ecuador, </w:t>
      </w:r>
      <w:r w:rsidRPr="0067008A">
        <w:rPr>
          <w:rFonts w:ascii="Times New Roman" w:hAnsi="Times New Roman" w:cs="Times New Roman"/>
        </w:rPr>
        <w:t xml:space="preserve"> ingresó a Secretaría General de la Asamblea Nacional el oficio signado con el número de trámite 410976. En la parte pertinente del oficio, el Primer Mandatario manifestó lo siguiente: </w:t>
      </w:r>
      <w:r w:rsidRPr="0067008A">
        <w:rPr>
          <w:rFonts w:ascii="Times New Roman" w:hAnsi="Times New Roman" w:cs="Times New Roman"/>
          <w:i/>
        </w:rPr>
        <w:t xml:space="preserve">“(...) Ni la Asamblea ni la Comisión son los órganos competentes para investigar las causas relativas con incumplimientos a la referida ley”. </w:t>
      </w:r>
      <w:r w:rsidRPr="0067008A">
        <w:rPr>
          <w:rFonts w:ascii="Times New Roman" w:hAnsi="Times New Roman" w:cs="Times New Roman"/>
        </w:rPr>
        <w:t xml:space="preserve">En este sentido, el Presidente de la República concluyó que la Contraloría General del Estado (CGE) </w:t>
      </w:r>
      <w:r w:rsidR="00A67256" w:rsidRPr="0067008A">
        <w:rPr>
          <w:rFonts w:ascii="Times New Roman" w:hAnsi="Times New Roman" w:cs="Times New Roman"/>
        </w:rPr>
        <w:t>es</w:t>
      </w:r>
      <w:r w:rsidRPr="0067008A">
        <w:rPr>
          <w:rFonts w:ascii="Times New Roman" w:hAnsi="Times New Roman" w:cs="Times New Roman"/>
        </w:rPr>
        <w:t xml:space="preserve"> el órgano competente </w:t>
      </w:r>
      <w:r w:rsidR="00A67256" w:rsidRPr="0067008A">
        <w:rPr>
          <w:rFonts w:ascii="Times New Roman" w:hAnsi="Times New Roman" w:cs="Times New Roman"/>
        </w:rPr>
        <w:t xml:space="preserve">y que por </w:t>
      </w:r>
      <w:r w:rsidRPr="0067008A">
        <w:rPr>
          <w:rFonts w:ascii="Times New Roman" w:hAnsi="Times New Roman" w:cs="Times New Roman"/>
        </w:rPr>
        <w:t>su propio pedido la CGE habría ya iniciado una investigación al respecto.</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De conformidad con el artículo 75 de la Ley Orgánica de la Función Legislativa, las y los asambleístas directamente o las comisiones especializadas tienen la facultad de requerir información o comparecencias a las y los funcionarios detallados en los artículos 120 numeral 9, 225 y 131 de la Constitución de la República.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El artículo 225 de la norma suprema jurídica del estado ecuatoriano indica en su numeral 1 que el sector público comprende: “Los organismos y dependencias de las funciones Ejecutiva, Legislativa, Judicial, Electoral y de Transparencia y Control Social”. </w:t>
      </w:r>
    </w:p>
    <w:p w:rsidR="004A01E0"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El señor Guillermo Lasso Mendoza, </w:t>
      </w:r>
      <w:r w:rsidR="00A67256" w:rsidRPr="0067008A">
        <w:rPr>
          <w:rFonts w:ascii="Times New Roman" w:hAnsi="Times New Roman" w:cs="Times New Roman"/>
        </w:rPr>
        <w:t xml:space="preserve">en su calidad de </w:t>
      </w:r>
      <w:r w:rsidRPr="0067008A">
        <w:rPr>
          <w:rFonts w:ascii="Times New Roman" w:hAnsi="Times New Roman" w:cs="Times New Roman"/>
        </w:rPr>
        <w:t>Presidente de la República del Ecuador</w:t>
      </w:r>
      <w:r w:rsidR="00A67256" w:rsidRPr="0067008A">
        <w:rPr>
          <w:rFonts w:ascii="Times New Roman" w:hAnsi="Times New Roman" w:cs="Times New Roman"/>
        </w:rPr>
        <w:t xml:space="preserve"> ejerce la Función Ejecutiva de acuerdo a lo que manda el </w:t>
      </w:r>
      <w:r w:rsidR="004A01E0" w:rsidRPr="0067008A">
        <w:rPr>
          <w:rFonts w:ascii="Times New Roman" w:hAnsi="Times New Roman" w:cs="Times New Roman"/>
        </w:rPr>
        <w:t xml:space="preserve">artículo </w:t>
      </w:r>
      <w:r w:rsidRPr="0067008A">
        <w:rPr>
          <w:rFonts w:ascii="Times New Roman" w:hAnsi="Times New Roman" w:cs="Times New Roman"/>
        </w:rPr>
        <w:t>141 de la Constitución</w:t>
      </w:r>
      <w:r w:rsidR="004A01E0" w:rsidRPr="0067008A">
        <w:rPr>
          <w:rFonts w:ascii="Times New Roman" w:hAnsi="Times New Roman" w:cs="Times New Roman"/>
        </w:rPr>
        <w:t xml:space="preserve"> de la República del Ecuador</w:t>
      </w:r>
      <w:r w:rsidRPr="0067008A">
        <w:rPr>
          <w:rFonts w:ascii="Times New Roman" w:hAnsi="Times New Roman" w:cs="Times New Roman"/>
        </w:rPr>
        <w:t xml:space="preserve"> </w:t>
      </w:r>
      <w:r w:rsidR="00A67256" w:rsidRPr="0067008A">
        <w:rPr>
          <w:rFonts w:ascii="Times New Roman" w:hAnsi="Times New Roman" w:cs="Times New Roman"/>
        </w:rPr>
        <w:t xml:space="preserve">como </w:t>
      </w:r>
      <w:r w:rsidRPr="0067008A">
        <w:rPr>
          <w:rFonts w:ascii="Times New Roman" w:hAnsi="Times New Roman" w:cs="Times New Roman"/>
        </w:rPr>
        <w:t xml:space="preserve">el </w:t>
      </w:r>
      <w:r w:rsidR="00726C43" w:rsidRPr="0067008A">
        <w:rPr>
          <w:rFonts w:ascii="Times New Roman" w:hAnsi="Times New Roman" w:cs="Times New Roman"/>
        </w:rPr>
        <w:t>jefe</w:t>
      </w:r>
      <w:r w:rsidRPr="0067008A">
        <w:rPr>
          <w:rFonts w:ascii="Times New Roman" w:hAnsi="Times New Roman" w:cs="Times New Roman"/>
        </w:rPr>
        <w:t xml:space="preserve"> del Estado y de Gobierno y responsable de la administración pública. Por lo que, el señor Presidente de la República del Ecuador tenía la obligación y </w:t>
      </w:r>
      <w:r w:rsidR="00726C43" w:rsidRPr="0067008A">
        <w:rPr>
          <w:rFonts w:ascii="Times New Roman" w:hAnsi="Times New Roman" w:cs="Times New Roman"/>
        </w:rPr>
        <w:t>responsabilidad comparecer</w:t>
      </w:r>
      <w:r w:rsidRPr="0067008A">
        <w:rPr>
          <w:rFonts w:ascii="Times New Roman" w:hAnsi="Times New Roman" w:cs="Times New Roman"/>
        </w:rPr>
        <w:t xml:space="preserve"> como máxima autoridad y representante de la Función Ejecutiv</w:t>
      </w:r>
      <w:r w:rsidR="00726C43" w:rsidRPr="0067008A">
        <w:rPr>
          <w:rFonts w:ascii="Times New Roman" w:hAnsi="Times New Roman" w:cs="Times New Roman"/>
        </w:rPr>
        <w:t>a</w:t>
      </w:r>
    </w:p>
    <w:p w:rsidR="00726C43" w:rsidRPr="0067008A" w:rsidRDefault="00921711" w:rsidP="00726C43">
      <w:pPr>
        <w:spacing w:after="240" w:line="360" w:lineRule="auto"/>
        <w:jc w:val="both"/>
        <w:rPr>
          <w:rFonts w:ascii="Times New Roman" w:hAnsi="Times New Roman" w:cs="Times New Roman"/>
        </w:rPr>
      </w:pPr>
      <w:r w:rsidRPr="0067008A">
        <w:rPr>
          <w:rFonts w:ascii="Times New Roman" w:hAnsi="Times New Roman" w:cs="Times New Roman"/>
        </w:rPr>
        <w:t xml:space="preserve">En el </w:t>
      </w:r>
      <w:r w:rsidR="00264853" w:rsidRPr="0067008A">
        <w:rPr>
          <w:rFonts w:ascii="Times New Roman" w:hAnsi="Times New Roman" w:cs="Times New Roman"/>
          <w:b/>
        </w:rPr>
        <w:t>expediente de la investigación</w:t>
      </w:r>
      <w:r w:rsidRPr="0067008A">
        <w:rPr>
          <w:rFonts w:ascii="Times New Roman" w:hAnsi="Times New Roman" w:cs="Times New Roman"/>
        </w:rPr>
        <w:t>, consta el oficio S/N, de fecha 20 de octubre de 2021, suscrito por el señor Guillermo Lasso, Presidente de la República del Ecuador, dirigido al Asambleísta Fernando Cabascango, Presidente de la Comisión de Garantías Constitucionales, Derechos Humanos, Derechos Colectivos y la Interculturalidad</w:t>
      </w:r>
      <w:r w:rsidR="00726C43" w:rsidRPr="0067008A">
        <w:rPr>
          <w:rFonts w:ascii="Times New Roman" w:hAnsi="Times New Roman" w:cs="Times New Roman"/>
        </w:rPr>
        <w:t xml:space="preserve"> en el que señala, entre otras consideraciones, que recibirá a los miembros de esta Comisión en el Palacio de Carondelet</w:t>
      </w:r>
      <w:r w:rsidRPr="0067008A">
        <w:rPr>
          <w:rFonts w:ascii="Times New Roman" w:hAnsi="Times New Roman" w:cs="Times New Roman"/>
        </w:rPr>
        <w:t xml:space="preserve">. </w:t>
      </w:r>
    </w:p>
    <w:p w:rsidR="006A4D59" w:rsidRPr="0067008A" w:rsidRDefault="00921711" w:rsidP="00726C43">
      <w:pPr>
        <w:pStyle w:val="Prrafodelista"/>
        <w:numPr>
          <w:ilvl w:val="0"/>
          <w:numId w:val="39"/>
        </w:numPr>
        <w:spacing w:after="240" w:line="360" w:lineRule="auto"/>
        <w:jc w:val="both"/>
      </w:pPr>
      <w:r w:rsidRPr="0067008A">
        <w:rPr>
          <w:b/>
        </w:rPr>
        <w:t>Sesión 036- 2021: Comparecencia de instituciones públicas</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El 22 de octubre de 2021, en la sesión ordinaria Nro. 36, la Comisión realizó la</w:t>
      </w:r>
      <w:r w:rsidR="00726C43" w:rsidRPr="0067008A">
        <w:rPr>
          <w:rFonts w:ascii="Times New Roman" w:hAnsi="Times New Roman" w:cs="Times New Roman"/>
        </w:rPr>
        <w:t xml:space="preserve"> </w:t>
      </w:r>
      <w:r w:rsidRPr="0067008A">
        <w:rPr>
          <w:rFonts w:ascii="Times New Roman" w:hAnsi="Times New Roman" w:cs="Times New Roman"/>
        </w:rPr>
        <w:t xml:space="preserve">convocatoria a varias instituciones públicas, entre las cuales estuvieron: Servicio de Rentas Internas (SRI), Banco Central del Ecuador (BCE), Superintendencia de Bancos (SB), Contraloría General del Estado (CGE), y Consejo Nacional Electoral (CNE). De las instituciones referidas, sólo asistieron el SRI, CGE y CNE. </w:t>
      </w:r>
    </w:p>
    <w:p w:rsidR="00B04790" w:rsidRPr="0067008A" w:rsidRDefault="00921711" w:rsidP="00B04790">
      <w:pPr>
        <w:spacing w:after="240" w:line="360" w:lineRule="auto"/>
        <w:jc w:val="both"/>
        <w:rPr>
          <w:rFonts w:ascii="Times New Roman" w:hAnsi="Times New Roman" w:cs="Times New Roman"/>
        </w:rPr>
      </w:pPr>
      <w:r w:rsidRPr="0067008A">
        <w:rPr>
          <w:rFonts w:ascii="Times New Roman" w:hAnsi="Times New Roman" w:cs="Times New Roman"/>
        </w:rPr>
        <w:t xml:space="preserve">En cuanto al SRI, la institución no evidenció avances en investigaciones o revisión de las determinaciones tributarias, frente a los nuevos hechos. Al </w:t>
      </w:r>
      <w:r w:rsidR="00726C43" w:rsidRPr="0067008A">
        <w:rPr>
          <w:rFonts w:ascii="Times New Roman" w:hAnsi="Times New Roman" w:cs="Times New Roman"/>
        </w:rPr>
        <w:t>consultarle</w:t>
      </w:r>
      <w:r w:rsidRPr="0067008A">
        <w:rPr>
          <w:rFonts w:ascii="Times New Roman" w:hAnsi="Times New Roman" w:cs="Times New Roman"/>
        </w:rPr>
        <w:t xml:space="preserve"> al SRI sobre las actuaciones por sus administraciones zonales, contestó que la administración central no puede pronunciarse por no ser ámbito de su competencia. Finalmente, el SRI refirió que no podía entregar la información solicitada pues esta era catalogada como datos de carácter personal, aplicando el artículo 352 y 353 del Código Orgánico Monetario y Financiero. </w:t>
      </w:r>
      <w:r w:rsidR="0040117A" w:rsidRPr="0067008A">
        <w:rPr>
          <w:rFonts w:ascii="Times New Roman" w:hAnsi="Times New Roman" w:cs="Times New Roman"/>
        </w:rPr>
        <w:t xml:space="preserve">En este contexto, el artículo 9, </w:t>
      </w:r>
      <w:r w:rsidR="00B04790" w:rsidRPr="0067008A">
        <w:rPr>
          <w:rFonts w:ascii="Times New Roman" w:hAnsi="Times New Roman" w:cs="Times New Roman"/>
        </w:rPr>
        <w:t>número</w:t>
      </w:r>
      <w:r w:rsidR="0040117A" w:rsidRPr="0067008A">
        <w:rPr>
          <w:rFonts w:ascii="Times New Roman" w:hAnsi="Times New Roman" w:cs="Times New Roman"/>
        </w:rPr>
        <w:t xml:space="preserve"> 10 de la Ley Orgánica de la Función Legislativa señala que</w:t>
      </w:r>
      <w:r w:rsidR="00B04790" w:rsidRPr="0067008A">
        <w:rPr>
          <w:rFonts w:ascii="Times New Roman" w:hAnsi="Times New Roman" w:cs="Times New Roman"/>
        </w:rPr>
        <w:t xml:space="preserve"> es atribución de la Asamblea Nacional: “Requerir a las servidoras y a los servidores públicos, la información necesaria para los procesos de fiscalización y control político, a fin de garantizar el cumplimiento de las disposiciones constitucionales y legales. La información clasificada como confidencial, reservada, secreta y secretísima será proporcionada bajo prevención de guardar la reserva que la ley dispone. Si del proceso de fiscalización y control político se derivan indicios de presuntos actos de corrupción, la información será puesta en conocimiento de la Fiscalía General del Estado”. </w:t>
      </w:r>
      <w:r w:rsidR="0040117A" w:rsidRPr="0067008A">
        <w:rPr>
          <w:rFonts w:ascii="Times New Roman" w:hAnsi="Times New Roman" w:cs="Times New Roman"/>
        </w:rPr>
        <w:t xml:space="preserve">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La falta de cooperación del SRI es evidente, pues el artículo 245 de</w:t>
      </w:r>
      <w:r w:rsidR="007B514E" w:rsidRPr="0067008A">
        <w:rPr>
          <w:rFonts w:ascii="Times New Roman" w:hAnsi="Times New Roman" w:cs="Times New Roman"/>
        </w:rPr>
        <w:t>l</w:t>
      </w:r>
      <w:r w:rsidRPr="0067008A">
        <w:rPr>
          <w:rFonts w:ascii="Times New Roman" w:hAnsi="Times New Roman" w:cs="Times New Roman"/>
        </w:rPr>
        <w:t xml:space="preserve"> </w:t>
      </w:r>
      <w:r w:rsidR="007B514E" w:rsidRPr="0067008A">
        <w:rPr>
          <w:rFonts w:ascii="Times New Roman" w:hAnsi="Times New Roman" w:cs="Times New Roman"/>
        </w:rPr>
        <w:t>Código Orgánico Monetario y Financiero</w:t>
      </w:r>
      <w:r w:rsidRPr="0067008A">
        <w:rPr>
          <w:rFonts w:ascii="Times New Roman" w:hAnsi="Times New Roman" w:cs="Times New Roman"/>
        </w:rPr>
        <w:t xml:space="preserve">, establece varias excepciones a tales principios de reserva y sigilo, bajo las cuales, </w:t>
      </w:r>
      <w:r w:rsidR="007B514E" w:rsidRPr="0067008A">
        <w:rPr>
          <w:rFonts w:ascii="Times New Roman" w:hAnsi="Times New Roman" w:cs="Times New Roman"/>
        </w:rPr>
        <w:t>la referida institución pública, podía</w:t>
      </w:r>
      <w:r w:rsidRPr="0067008A">
        <w:rPr>
          <w:rFonts w:ascii="Times New Roman" w:hAnsi="Times New Roman" w:cs="Times New Roman"/>
        </w:rPr>
        <w:t xml:space="preserve"> entregar información a la Asamblea Nacional como ente de control, investigación y fiscalización, trasladándose la obligación de sigilo y reserva al órgano legislativo</w:t>
      </w:r>
      <w:r w:rsidR="007B514E" w:rsidRPr="0067008A">
        <w:rPr>
          <w:rFonts w:ascii="Times New Roman" w:hAnsi="Times New Roman" w:cs="Times New Roman"/>
        </w:rPr>
        <w:t xml:space="preserve"> conforme lo previsto en la Ley Orgánica de la </w:t>
      </w:r>
      <w:r w:rsidR="00E8629C" w:rsidRPr="0067008A">
        <w:rPr>
          <w:rFonts w:ascii="Times New Roman" w:hAnsi="Times New Roman" w:cs="Times New Roman"/>
        </w:rPr>
        <w:t>Función</w:t>
      </w:r>
      <w:r w:rsidR="007B514E" w:rsidRPr="0067008A">
        <w:rPr>
          <w:rFonts w:ascii="Times New Roman" w:hAnsi="Times New Roman" w:cs="Times New Roman"/>
        </w:rPr>
        <w:t xml:space="preserve"> Legislativa.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En este mismo sentido, la CGE señaló que no ha iniciado ninguna investigación sobre paraísos fiscales. Al preguntarle sobre la información que consta en las declaraciones patrimoniales del señor Guillermo Lasso, refirió que no es posible entregar esta información, hasta que el examen especial esté aprobado. Así también refirió que pese a que el señor Guillermo Lasso renunció expresamente a su sigilo bancario, esto no tendría cabida para la aplicación de la Ley Orgánica para la Aplicación de la Consulta Popular de 19 de febrero de 2017. De igual forma mencionó que las actuaciones que se realicen para cumplir con la orden de trabajo que dispone la apertura del examen especial sobre el patrimonio del presidente Guillermo Lasso son de carácter reservado.</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Por su parte, el CNE señaló que comprobar el incumplimiento de los requisitos para inscribir la candidatura, le corresponde al sujeto que impugna tal candidatura. Es decir, la carga de la prueba es del accionante, y el CNE no realiza verificaciones más allá de las pruebas que las partes del proceso de impugnación electoral</w:t>
      </w:r>
      <w:r w:rsidR="00C80541" w:rsidRPr="0067008A">
        <w:rPr>
          <w:rFonts w:ascii="Times New Roman" w:hAnsi="Times New Roman" w:cs="Times New Roman"/>
        </w:rPr>
        <w:t xml:space="preserve"> </w:t>
      </w:r>
      <w:r w:rsidRPr="0067008A">
        <w:rPr>
          <w:rFonts w:ascii="Times New Roman" w:hAnsi="Times New Roman" w:cs="Times New Roman"/>
        </w:rPr>
        <w:t>puedan poner en su conocimiento. También señaló que no le corresponde al CNE pues no es su competencia, tomar acciones en caso de que el contenido de la declaración patrimonial sea falso.</w:t>
      </w:r>
    </w:p>
    <w:p w:rsidR="006A4D59" w:rsidRPr="0067008A" w:rsidRDefault="00921711" w:rsidP="00677E33">
      <w:pPr>
        <w:pStyle w:val="Prrafodelista"/>
        <w:numPr>
          <w:ilvl w:val="0"/>
          <w:numId w:val="39"/>
        </w:numPr>
        <w:spacing w:after="240" w:line="360" w:lineRule="auto"/>
        <w:jc w:val="both"/>
      </w:pPr>
      <w:r w:rsidRPr="0067008A">
        <w:rPr>
          <w:b/>
        </w:rPr>
        <w:t>Sesión 037-2021: Comparecencia de instituciones públicas</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El 22 de octubre, en la Sesión Ordinaria Nro. 37, la Comisión extendió convocatoria a las siguientes instituciones públicas: Fiscalía General del Estado (FGE), Unidad de Análisis Financiero y Económico (UAFE), Tribunal Contencioso Electoral (TCE), Superintendencia de Compañías (SUPERCIAS), y Ministerio de Relaciones Exteriores y Movilidad Humana (MREMH). A esta convocatoria no asistieron la UAFE y el MREMH.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A manera de preámbulo, la FGE señaló que no podía hablar sobre la investigación que la institución inició por el asunto de Pandora papers. Ante las preguntas efectuadas por los legisladores, no hizo más que leer textualmente el Código Orgánico Integral Penal (COIP). El Fiscal General (S) se deslindó de las preguntas planteadas por las y los asambleístas, aduciendo que los asuntos no eran parte del caso Pandora papers, pese a que se evidencia interconexión entre las sociedades nombradas en el caso referido.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Por su parte, el TCE, al igual que el CNE, informó que la justicia electoral no opera de manera oficiosa, sino que solo se activa por petición de los interesados. En este sentido, para la resolución del recurso de impugnación de la candidatura del señor Guillermo Lasso, dentro de la causa Nro. 090-2020-TCE el Tribunal se limitó a observar las pruebas de las partes, sin ejercer una verdadera labor de investigación de los hechos por los cuales se impugnó tal candidatura. Es decir, esta institución no ejerció ninguna facultad de control sobre el cumplimiento de los requisitos necesarios para inscribir las candidaturas presidenciales en las pasadas elecciones. De manera general, informó que </w:t>
      </w:r>
      <w:r w:rsidR="00264853" w:rsidRPr="0067008A">
        <w:rPr>
          <w:rFonts w:ascii="Times New Roman" w:hAnsi="Times New Roman" w:cs="Times New Roman"/>
        </w:rPr>
        <w:t>los argumentos de defensa de la candidatura del actual presidente fueron</w:t>
      </w:r>
      <w:r w:rsidRPr="0067008A">
        <w:rPr>
          <w:rFonts w:ascii="Times New Roman" w:hAnsi="Times New Roman" w:cs="Times New Roman"/>
        </w:rPr>
        <w:t xml:space="preserve"> </w:t>
      </w:r>
      <w:r w:rsidRPr="0067008A">
        <w:rPr>
          <w:rFonts w:ascii="Times New Roman" w:hAnsi="Times New Roman" w:cs="Times New Roman"/>
          <w:i/>
        </w:rPr>
        <w:t>“(…) que la impugnación presentada carece de verdad”</w:t>
      </w:r>
      <w:r w:rsidRPr="0067008A">
        <w:rPr>
          <w:rFonts w:ascii="Times New Roman" w:hAnsi="Times New Roman" w:cs="Times New Roman"/>
        </w:rPr>
        <w:t>, sin indicar qué documentos sustentaron tal aseveración.</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Por su parte, la Superintendencia de Compañías señaló que no han podido disminuir las irregularidades en la constitución de las compañías denominadas fantasmas. Al preguntarle al titular del organismo sobre la supervisión de la sociedad Corporación MultiBG S.A., respondió que no ha sido sujeto de supervisión, por no encontrarse irregularidades en su gestión. Así también, refirió que existirían fidecomisos que no estarían escritos, por lo cual no podría informar sobre los beneficiarios efectivos de las sociedades referidas.</w:t>
      </w:r>
    </w:p>
    <w:p w:rsidR="006A4D59" w:rsidRPr="0067008A" w:rsidRDefault="00921711" w:rsidP="007A346D">
      <w:pPr>
        <w:pStyle w:val="Prrafodelista"/>
        <w:numPr>
          <w:ilvl w:val="0"/>
          <w:numId w:val="39"/>
        </w:numPr>
        <w:spacing w:after="240" w:line="360" w:lineRule="auto"/>
        <w:jc w:val="both"/>
      </w:pPr>
      <w:r w:rsidRPr="0067008A">
        <w:rPr>
          <w:b/>
        </w:rPr>
        <w:t>Sesión 038-2021: Comisión general con expertos nacionales en materias relativas al caso “Pandora Papers”</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El sábado 23 de octubre de 2021, la Comisión llevó a cabo la sesión ordinaria Nro. 38, en la cual recibió a expertos para que brinden aportes en el ámbito de su formación profesional, en relación al caso Pandora Papers. Por motivos de caso fortuito, los expertos no asistieron a esta Comisión General. </w:t>
      </w:r>
    </w:p>
    <w:p w:rsidR="006A4D59" w:rsidRPr="0067008A" w:rsidRDefault="00921711" w:rsidP="00677E33">
      <w:pPr>
        <w:pStyle w:val="Prrafodelista"/>
        <w:numPr>
          <w:ilvl w:val="0"/>
          <w:numId w:val="39"/>
        </w:numPr>
        <w:spacing w:after="240" w:line="360" w:lineRule="auto"/>
        <w:jc w:val="both"/>
      </w:pPr>
      <w:r w:rsidRPr="0067008A">
        <w:rPr>
          <w:b/>
        </w:rPr>
        <w:t>Sesión 039-2021: Comisión general con expertos internacionales en materias relativas al caso “Pandora Papers”</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El sábado 23 de octubre de 2021, la Comisión llevó a cabo la sesión ordinaria Nro. 39, en la cual recibió a expertos internacionales a fin de que brinden aportes sobre la investigación denominada “Pandora papers”. Los expertos </w:t>
      </w:r>
      <w:r w:rsidR="00A87D67" w:rsidRPr="0067008A">
        <w:rPr>
          <w:rFonts w:ascii="Times New Roman" w:hAnsi="Times New Roman" w:cs="Times New Roman"/>
        </w:rPr>
        <w:t xml:space="preserve">que </w:t>
      </w:r>
      <w:r w:rsidRPr="0067008A">
        <w:rPr>
          <w:rFonts w:ascii="Times New Roman" w:hAnsi="Times New Roman" w:cs="Times New Roman"/>
        </w:rPr>
        <w:t>asistentes fueron: i)</w:t>
      </w:r>
      <w:r w:rsidR="00677E33" w:rsidRPr="0067008A">
        <w:rPr>
          <w:rFonts w:ascii="Times New Roman" w:hAnsi="Times New Roman" w:cs="Times New Roman"/>
        </w:rPr>
        <w:t xml:space="preserve"> </w:t>
      </w:r>
      <w:r w:rsidRPr="0067008A">
        <w:rPr>
          <w:rFonts w:ascii="Times New Roman" w:hAnsi="Times New Roman" w:cs="Times New Roman"/>
        </w:rPr>
        <w:t xml:space="preserve">Dr. Éric Toussaint, experto internacional en deuda externa y paraísos fiscales; ii) Abogado Andrés Knobel, de la Red de justicia Fiscal de América latina y el Caribe; y, iii) Dr. Rámiro Chimurris, experto en deuda externa y paraísos fiscales. </w:t>
      </w:r>
    </w:p>
    <w:p w:rsidR="006A4D59" w:rsidRPr="0067008A" w:rsidRDefault="00921711" w:rsidP="005A48FD">
      <w:pPr>
        <w:spacing w:after="240" w:line="360" w:lineRule="auto"/>
        <w:jc w:val="both"/>
        <w:rPr>
          <w:rFonts w:ascii="Times New Roman" w:hAnsi="Times New Roman" w:cs="Times New Roman"/>
        </w:rPr>
      </w:pPr>
      <w:r w:rsidRPr="0067008A">
        <w:rPr>
          <w:rFonts w:ascii="Times New Roman" w:hAnsi="Times New Roman" w:cs="Times New Roman"/>
        </w:rPr>
        <w:t>El Doctor en Ciencias Políticas de la Universidad de la Universidad de París VIII, Éric Toussaint es el portavoz del CADTM internacional y es miembro del Consejo Científico de ATTAC Francia. Coordinó los trabajos de la Comisión de la Verdad Sobre la Deuda</w:t>
      </w:r>
      <w:r w:rsidR="005A48FD" w:rsidRPr="0067008A">
        <w:rPr>
          <w:rFonts w:ascii="Times New Roman" w:hAnsi="Times New Roman" w:cs="Times New Roman"/>
        </w:rPr>
        <w:t xml:space="preserve"> </w:t>
      </w:r>
      <w:r w:rsidRPr="0067008A">
        <w:rPr>
          <w:rFonts w:ascii="Times New Roman" w:hAnsi="Times New Roman" w:cs="Times New Roman"/>
        </w:rPr>
        <w:t>creada por el presidente del Parlamento griego. Inició su exposición señalando que los ricos a nivel del mundo utilizan paraísos fiscales para evadir impuestos y disimular la realidad de su patrimonio y en ciertos casos para lavar dinero y fugar capitales. Así, miles de miles de millones de dólares cada año escapan del fisco de los diferentes países y tiene como consecuencia que los Estados sean víctimas de esa evasión fiscal a gran escala; no tiene suficientes ingresos fiscales y tiene que endeudarse para financiar el presupuesto y el gasto corriente</w:t>
      </w:r>
    </w:p>
    <w:p w:rsidR="006A4D59" w:rsidRPr="0067008A" w:rsidRDefault="00921711" w:rsidP="00102B92">
      <w:pPr>
        <w:spacing w:after="240" w:line="360" w:lineRule="auto"/>
        <w:jc w:val="both"/>
        <w:rPr>
          <w:rFonts w:ascii="Times New Roman" w:hAnsi="Times New Roman" w:cs="Times New Roman"/>
        </w:rPr>
      </w:pPr>
      <w:r w:rsidRPr="0067008A">
        <w:rPr>
          <w:rFonts w:ascii="Times New Roman" w:hAnsi="Times New Roman" w:cs="Times New Roman"/>
        </w:rPr>
        <w:t xml:space="preserve">Los paraísos fiscales </w:t>
      </w:r>
      <w:r w:rsidR="005A48FD" w:rsidRPr="0067008A">
        <w:rPr>
          <w:rFonts w:ascii="Times New Roman" w:hAnsi="Times New Roman" w:cs="Times New Roman"/>
        </w:rPr>
        <w:t>son</w:t>
      </w:r>
      <w:r w:rsidRPr="0067008A">
        <w:rPr>
          <w:rFonts w:ascii="Times New Roman" w:hAnsi="Times New Roman" w:cs="Times New Roman"/>
        </w:rPr>
        <w:t xml:space="preserve"> un tema central para todas las naciones del planeta y pueblos del Mundo, porque la pérdida de ingreso puede tener consecuencias estructurales tremendas. En particular, como la situación actual de una crisis multidimensional como una pandemia, una crisis económica y ecológica que necesita movilizar de parte de los poderes públicos mucho dinero y no lo tienen; mientras una pequeña minoría se enriquece de manera extraordinaria e ilegítima.</w:t>
      </w:r>
    </w:p>
    <w:p w:rsidR="006A4D59" w:rsidRPr="0067008A" w:rsidRDefault="00921711" w:rsidP="00102B92">
      <w:pPr>
        <w:spacing w:after="240" w:line="360" w:lineRule="auto"/>
        <w:jc w:val="both"/>
        <w:rPr>
          <w:rFonts w:ascii="Times New Roman" w:hAnsi="Times New Roman" w:cs="Times New Roman"/>
        </w:rPr>
      </w:pPr>
      <w:r w:rsidRPr="0067008A">
        <w:rPr>
          <w:rFonts w:ascii="Times New Roman" w:hAnsi="Times New Roman" w:cs="Times New Roman"/>
        </w:rPr>
        <w:t>Hay una relación directa entre pérdidas de ingresos fiscales y endeudamiento público para financiar el presupuesto, lo vicioso de esto es que los mismos que evaden colocan sus capitales en otros países, y a partir de esta plataforma compran títulos de la deuda externa de su país recibiendo el pago del interés por el Estado como tenedores de bono.</w:t>
      </w:r>
    </w:p>
    <w:p w:rsidR="00BC5E4E" w:rsidRPr="0067008A" w:rsidRDefault="00500DF8" w:rsidP="00677E33">
      <w:pPr>
        <w:spacing w:after="240" w:line="360" w:lineRule="auto"/>
        <w:jc w:val="both"/>
        <w:rPr>
          <w:rFonts w:ascii="Times New Roman" w:hAnsi="Times New Roman" w:cs="Times New Roman"/>
        </w:rPr>
      </w:pPr>
      <w:r w:rsidRPr="0067008A">
        <w:rPr>
          <w:rFonts w:ascii="Times New Roman" w:hAnsi="Times New Roman" w:cs="Times New Roman"/>
        </w:rPr>
        <w:t>El experto señaló además que l</w:t>
      </w:r>
      <w:r w:rsidR="00921711" w:rsidRPr="0067008A">
        <w:rPr>
          <w:rFonts w:ascii="Times New Roman" w:hAnsi="Times New Roman" w:cs="Times New Roman"/>
        </w:rPr>
        <w:t>os paraísos fiscales tienen un efecto nefasto para todo el planeta, afectando a un país como Ecuador porque está perdiendo ingresos fiscales, y las personas que tendrían que pagar impuestos en el Ecuador no pagan suficiente o sólo pagan algunos. Lo hacen para evadir impuestos, disimulando el patrimonio real y en ciertos casos blanquear dinero del crimen y esconder ganancias de actividades criminales.</w:t>
      </w:r>
    </w:p>
    <w:p w:rsidR="006A4D59" w:rsidRPr="0067008A" w:rsidRDefault="00EA3E3A" w:rsidP="00151567">
      <w:pPr>
        <w:spacing w:after="240" w:line="360" w:lineRule="auto"/>
        <w:jc w:val="both"/>
        <w:rPr>
          <w:rFonts w:ascii="Times New Roman" w:hAnsi="Times New Roman" w:cs="Times New Roman"/>
        </w:rPr>
      </w:pPr>
      <w:r w:rsidRPr="0067008A">
        <w:rPr>
          <w:rFonts w:ascii="Times New Roman" w:hAnsi="Times New Roman" w:cs="Times New Roman"/>
        </w:rPr>
        <w:t>Asimismo,</w:t>
      </w:r>
      <w:r w:rsidR="00D01BD9" w:rsidRPr="0067008A">
        <w:rPr>
          <w:rFonts w:ascii="Times New Roman" w:hAnsi="Times New Roman" w:cs="Times New Roman"/>
        </w:rPr>
        <w:t xml:space="preserve"> advirtió que l</w:t>
      </w:r>
      <w:r w:rsidR="00921711" w:rsidRPr="0067008A">
        <w:rPr>
          <w:rFonts w:ascii="Times New Roman" w:hAnsi="Times New Roman" w:cs="Times New Roman"/>
        </w:rPr>
        <w:t>as empresas o personas que utilizan los paraísos fiscales buscan los servicios de personas y de empresas especializadas en opacar actividades financieras, son expertos y se pagan con precio alto este tipo de servicios. Además</w:t>
      </w:r>
      <w:r w:rsidR="00D01BD9" w:rsidRPr="0067008A">
        <w:rPr>
          <w:rFonts w:ascii="Times New Roman" w:hAnsi="Times New Roman" w:cs="Times New Roman"/>
        </w:rPr>
        <w:t>,</w:t>
      </w:r>
      <w:r w:rsidR="00921711" w:rsidRPr="0067008A">
        <w:rPr>
          <w:rFonts w:ascii="Times New Roman" w:hAnsi="Times New Roman" w:cs="Times New Roman"/>
        </w:rPr>
        <w:t xml:space="preserve"> los fideicomisos son un mecanismo que transfieren a empresas fantasmas, son estructuras legales que funcionan en estos casos sin tener actividad real en el país. Utilizar a su familia o grupo cercano hace parte del esquema de los paraísos fiscales o hay personas que prestan su nombre para dificultar conocer exactamente los dueños reales y</w:t>
      </w:r>
      <w:r w:rsidRPr="0067008A">
        <w:rPr>
          <w:rFonts w:ascii="Times New Roman" w:hAnsi="Times New Roman" w:cs="Times New Roman"/>
        </w:rPr>
        <w:t xml:space="preserve"> que </w:t>
      </w:r>
      <w:r w:rsidR="00921711" w:rsidRPr="0067008A">
        <w:rPr>
          <w:rFonts w:ascii="Times New Roman" w:hAnsi="Times New Roman" w:cs="Times New Roman"/>
        </w:rPr>
        <w:t xml:space="preserve">hay que esclarecer lo revelado por el Consorcio de Periodistas.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Un Estado debe prohibir a sus empresas y la minoría que utiliza los paraísos fiscales seguir abusando de estas figuras. Para mantener el equilibrio, Ecuador necesita dólares y si parte son evadidos y salen hacía al exterior eso genera un problema para la balanza de pagos de un país dolarizado como el Ecuador. Ejemplo: En Delaware hay novecientos mil habitantes y hay un millón quinientos mil empresas declaradas, casi el doble de empresas en relación a la población.</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El siguiente ponente fue Andrés Knobel, abogado (UBA) y consultor de la organización europea Tax Justice Network, Green Party del Parlamento Europeo y el Banco Interamericano de Desarrollo. Ha trabajado en el Financial Secrecy Index, en un análisis legal de más de 100 paraísos fiscales, y en el nuevo estándar de la OCDE sobre intercambio automático de información. Se especializa en el intercambio automático de información (FATCA y el CRS de la OCDE), los regímenes abusivos de la ley de fideicomisos y los mecanismos de evasión fiscal.</w:t>
      </w:r>
    </w:p>
    <w:p w:rsidR="006A4D59" w:rsidRPr="0067008A" w:rsidRDefault="00921711" w:rsidP="00677CE3">
      <w:pPr>
        <w:spacing w:after="240" w:line="360" w:lineRule="auto"/>
        <w:jc w:val="both"/>
        <w:rPr>
          <w:rFonts w:ascii="Times New Roman" w:hAnsi="Times New Roman" w:cs="Times New Roman"/>
        </w:rPr>
      </w:pPr>
      <w:r w:rsidRPr="0067008A">
        <w:rPr>
          <w:rFonts w:ascii="Times New Roman" w:hAnsi="Times New Roman" w:cs="Times New Roman"/>
        </w:rPr>
        <w:t>Es importante analizar el marco legal de los países para identificar y exponer cuales son los paraísos fiscales que generan tanto abuso y la necesidad de mayor transparencia en Ecuador y en el Mundo. El gran problema de los paraísos fiscales, de las jurisdicciones opacas o de secreto, es el acceso a la información al no existir la misma sobre la titularidad o el beneficiario final de estas empresas, de sus activos o ingresos a veces la declaración, en sí se convierte en voluntaria. Por tanto, para asegurar el cumplimiento del pago de tributos, si la autoridad de control no confirma ese dato</w:t>
      </w:r>
      <w:r w:rsidR="00677CE3" w:rsidRPr="0067008A">
        <w:rPr>
          <w:rFonts w:ascii="Times New Roman" w:hAnsi="Times New Roman" w:cs="Times New Roman"/>
        </w:rPr>
        <w:t>,</w:t>
      </w:r>
      <w:r w:rsidRPr="0067008A">
        <w:rPr>
          <w:rFonts w:ascii="Times New Roman" w:hAnsi="Times New Roman" w:cs="Times New Roman"/>
        </w:rPr>
        <w:t xml:space="preserve"> es porque la información suele estar en un paraíso fiscal</w:t>
      </w:r>
      <w:r w:rsidR="00677CE3" w:rsidRPr="0067008A">
        <w:rPr>
          <w:rFonts w:ascii="Times New Roman" w:hAnsi="Times New Roman" w:cs="Times New Roman"/>
        </w:rPr>
        <w:t>.</w:t>
      </w:r>
      <w:r w:rsidRPr="0067008A">
        <w:rPr>
          <w:rFonts w:ascii="Times New Roman" w:hAnsi="Times New Roman" w:cs="Times New Roman"/>
        </w:rPr>
        <w:t xml:space="preserve"> </w:t>
      </w:r>
    </w:p>
    <w:p w:rsidR="006A4D59" w:rsidRPr="0067008A" w:rsidRDefault="001E3811" w:rsidP="001E3811">
      <w:pPr>
        <w:spacing w:after="240" w:line="360" w:lineRule="auto"/>
        <w:jc w:val="both"/>
        <w:rPr>
          <w:rFonts w:ascii="Times New Roman" w:hAnsi="Times New Roman" w:cs="Times New Roman"/>
        </w:rPr>
      </w:pPr>
      <w:r w:rsidRPr="0067008A">
        <w:rPr>
          <w:rFonts w:ascii="Times New Roman" w:hAnsi="Times New Roman" w:cs="Times New Roman"/>
        </w:rPr>
        <w:t>El experto señaló que o</w:t>
      </w:r>
      <w:r w:rsidR="00921711" w:rsidRPr="0067008A">
        <w:rPr>
          <w:rFonts w:ascii="Times New Roman" w:hAnsi="Times New Roman" w:cs="Times New Roman"/>
        </w:rPr>
        <w:t xml:space="preserve">tro de los puntos de los cuales se habla en Pandora Papers es el uso de los fideicomisos, estos últimos suelen beneficiarse de </w:t>
      </w:r>
      <w:r w:rsidRPr="0067008A">
        <w:rPr>
          <w:rFonts w:ascii="Times New Roman" w:hAnsi="Times New Roman" w:cs="Times New Roman"/>
        </w:rPr>
        <w:t>mucha más opacidad</w:t>
      </w:r>
      <w:r w:rsidR="00921711" w:rsidRPr="0067008A">
        <w:rPr>
          <w:rFonts w:ascii="Times New Roman" w:hAnsi="Times New Roman" w:cs="Times New Roman"/>
        </w:rPr>
        <w:t xml:space="preserve"> que otros arreglos jurídicos, por cuanto muchas veces no hay obligatoriedad en su registro. También prueba la evidencia que muchas veces estos fideicomisos son abusados para esconder la titularidad o involucrarse en cualquier flujo financiero ilícito</w:t>
      </w:r>
    </w:p>
    <w:p w:rsidR="006A4D59" w:rsidRPr="0067008A" w:rsidRDefault="001E3811" w:rsidP="00677E33">
      <w:pPr>
        <w:spacing w:after="240" w:line="360" w:lineRule="auto"/>
        <w:jc w:val="both"/>
        <w:rPr>
          <w:rFonts w:ascii="Times New Roman" w:hAnsi="Times New Roman" w:cs="Times New Roman"/>
        </w:rPr>
      </w:pPr>
      <w:r w:rsidRPr="0067008A">
        <w:rPr>
          <w:rFonts w:ascii="Times New Roman" w:hAnsi="Times New Roman" w:cs="Times New Roman"/>
        </w:rPr>
        <w:t>Asimismo, refirió que h</w:t>
      </w:r>
      <w:r w:rsidR="00921711" w:rsidRPr="0067008A">
        <w:rPr>
          <w:rFonts w:ascii="Times New Roman" w:hAnsi="Times New Roman" w:cs="Times New Roman"/>
        </w:rPr>
        <w:t>ay varias razones por las que una persona recurre a los paraísos fiscales, una de ellas es mantenerse opaco detrás de vehículos jurídicos o personas jurídicas y también para esconder sus cuentas bancarias. El riesgo de los Fideicomisos</w:t>
      </w:r>
      <w:r w:rsidRPr="0067008A">
        <w:rPr>
          <w:rFonts w:ascii="Times New Roman" w:hAnsi="Times New Roman" w:cs="Times New Roman"/>
        </w:rPr>
        <w:t xml:space="preserve"> es que </w:t>
      </w:r>
      <w:r w:rsidR="00921711" w:rsidRPr="0067008A">
        <w:rPr>
          <w:rFonts w:ascii="Times New Roman" w:hAnsi="Times New Roman" w:cs="Times New Roman"/>
        </w:rPr>
        <w:t>en general no se sabe cuántos hay, que bienes tienen y quienes lo controlan, las partes involucradas en est</w:t>
      </w:r>
      <w:r w:rsidR="00C64166" w:rsidRPr="0067008A">
        <w:rPr>
          <w:rFonts w:ascii="Times New Roman" w:hAnsi="Times New Roman" w:cs="Times New Roman"/>
        </w:rPr>
        <w:t>a</w:t>
      </w:r>
      <w:r w:rsidR="00921711" w:rsidRPr="0067008A">
        <w:rPr>
          <w:rFonts w:ascii="Times New Roman" w:hAnsi="Times New Roman" w:cs="Times New Roman"/>
        </w:rPr>
        <w:t xml:space="preserve"> figura y sus calidades dentro de estas figuras.</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La base de un fideicomiso es un fiduciario que da bienes al (fideicomiso) que lo tendrá en beneficio de los beneficiarios. La realidad de los fideicomisos pueden ser mucho más compleja donde hay una persona de un testaferro quien es quien aparece en el instrumento pero no es el verdadero dueño. Un mecanismo muy útil es el uso de fideicomisos discrecionales donde en papel el fiduciario tendría discreción</w:t>
      </w:r>
      <w:r w:rsidR="00677E33" w:rsidRPr="0067008A">
        <w:rPr>
          <w:rFonts w:ascii="Times New Roman" w:hAnsi="Times New Roman" w:cs="Times New Roman"/>
        </w:rPr>
        <w:t xml:space="preserve"> </w:t>
      </w:r>
      <w:r w:rsidRPr="0067008A">
        <w:rPr>
          <w:rFonts w:ascii="Times New Roman" w:hAnsi="Times New Roman" w:cs="Times New Roman"/>
        </w:rPr>
        <w:t xml:space="preserve">de cuando, cuanto y si va a recibir o no, pueden existir clases de beneficiarios sobre los cuales recae una distribución. Para que el fiduciante se asegure que el fiduciario haga lo que quiere, se utiliza la figura del protector. Y también existe otro mecanismo </w:t>
      </w:r>
      <w:r w:rsidR="00B4472E" w:rsidRPr="0067008A">
        <w:rPr>
          <w:rFonts w:ascii="Times New Roman" w:hAnsi="Times New Roman" w:cs="Times New Roman"/>
        </w:rPr>
        <w:t>que radica en que</w:t>
      </w:r>
      <w:r w:rsidRPr="0067008A">
        <w:rPr>
          <w:rFonts w:ascii="Times New Roman" w:hAnsi="Times New Roman" w:cs="Times New Roman"/>
        </w:rPr>
        <w:t xml:space="preserve"> el fiduciario es una persona jurídica, una empresa y quien controla va a depender quién controla la empresa del beneficiario final o de los accionistas. Todo depende de la persona que crea el fideicomiso y conforme su voluntad (carta de deseos). Dakota del Sur, es un destino principalmente por la opacidad y la facultad de proteger activos frente a la sociedad.</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Las offshore puede ser utilizadas para innumerables cuestiones, el gran riesgo </w:t>
      </w:r>
      <w:r w:rsidR="007B4011" w:rsidRPr="0067008A">
        <w:rPr>
          <w:rFonts w:ascii="Times New Roman" w:hAnsi="Times New Roman" w:cs="Times New Roman"/>
        </w:rPr>
        <w:t xml:space="preserve">que existe es que </w:t>
      </w:r>
      <w:r w:rsidRPr="0067008A">
        <w:rPr>
          <w:rFonts w:ascii="Times New Roman" w:hAnsi="Times New Roman" w:cs="Times New Roman"/>
        </w:rPr>
        <w:t>son abusados para</w:t>
      </w:r>
      <w:r w:rsidR="00677E33" w:rsidRPr="0067008A">
        <w:rPr>
          <w:rFonts w:ascii="Times New Roman" w:hAnsi="Times New Roman" w:cs="Times New Roman"/>
        </w:rPr>
        <w:t xml:space="preserve"> </w:t>
      </w:r>
      <w:r w:rsidRPr="0067008A">
        <w:rPr>
          <w:rFonts w:ascii="Times New Roman" w:hAnsi="Times New Roman" w:cs="Times New Roman"/>
        </w:rPr>
        <w:t>los flujos financieros ilícitos como: evasión de impuestos, elusión de impuestos, lavado de activos, esconder frutos de la corrupción, evitar el recuperado de activos, simulaciones con cualquier estructura jurídica que goce de secreto, lo que te permite operar de donde tu quieras. La solución a las investigaciones no es solo buscar quien es el titular actual sino quien es el fundador.</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El tercer ponente </w:t>
      </w:r>
      <w:r w:rsidR="007B4011" w:rsidRPr="0067008A">
        <w:rPr>
          <w:rFonts w:ascii="Times New Roman" w:hAnsi="Times New Roman" w:cs="Times New Roman"/>
        </w:rPr>
        <w:t>fue</w:t>
      </w:r>
      <w:r w:rsidRPr="0067008A">
        <w:rPr>
          <w:rFonts w:ascii="Times New Roman" w:hAnsi="Times New Roman" w:cs="Times New Roman"/>
        </w:rPr>
        <w:t xml:space="preserve"> Ramiro Chimurris de la Universidad de la República Oriental del Uruguay (Udelar), Facultad de Derecho, Coordinador y co-fundador de la Red de Cátedras de Deuda Pública y Red Cadtm Ayna. En su exposición, refirió que las guaridas fiscales o paraísos fiscales, espacios reservados para elusión y evasión de los capitales de empresas y corporaciones, no son solo islas sino Estados que ofrecen y garantizan la exención de impuestos y tasas casi nulas a través de un arquitectura jurídica de ficción con apariencia de perfecta legalidad </w:t>
      </w:r>
      <w:r w:rsidR="007B4011" w:rsidRPr="0067008A">
        <w:rPr>
          <w:rFonts w:ascii="Times New Roman" w:hAnsi="Times New Roman" w:cs="Times New Roman"/>
        </w:rPr>
        <w:t xml:space="preserve">en las que se </w:t>
      </w:r>
      <w:r w:rsidRPr="0067008A">
        <w:rPr>
          <w:rFonts w:ascii="Times New Roman" w:hAnsi="Times New Roman" w:cs="Times New Roman"/>
        </w:rPr>
        <w:t>puede realizar todo tipo de comercio, transferencias de activos, monedas, mercancías, bonos y otros instrumentos derivados siempre protegidos por las reglas de inversión cubierta</w:t>
      </w:r>
      <w:r w:rsidR="00245F16" w:rsidRPr="0067008A">
        <w:rPr>
          <w:rFonts w:ascii="Times New Roman" w:hAnsi="Times New Roman" w:cs="Times New Roman"/>
        </w:rPr>
        <w:t>.</w:t>
      </w:r>
    </w:p>
    <w:p w:rsidR="006A4D59" w:rsidRPr="0067008A" w:rsidRDefault="00921711" w:rsidP="00270F4A">
      <w:pPr>
        <w:spacing w:after="240" w:line="360" w:lineRule="auto"/>
        <w:jc w:val="both"/>
        <w:rPr>
          <w:rFonts w:ascii="Times New Roman" w:hAnsi="Times New Roman" w:cs="Times New Roman"/>
        </w:rPr>
      </w:pPr>
      <w:r w:rsidRPr="0067008A">
        <w:rPr>
          <w:rFonts w:ascii="Times New Roman" w:hAnsi="Times New Roman" w:cs="Times New Roman"/>
        </w:rPr>
        <w:t>La elusión es un mecanismo más amplio que puede contener o no a la evasión fiscal. El beneficiario utiliza vías fiscales para minimizar el pago de los impuestos, y obtienen ventajas de normas no previstas en la normativa tributaria de su país. Los paraísos fiscales son un instrumento de elusión fiscal que facilitan aquellas personas o empresas una tributación reducida o la opacidad. La evasión fiscal ya apareja a un ilícito tributario. Los métodos de evasión fiscal tendrán que ver con el país de residencia sobre todo la creación de las offshore. Sin embargo, llevar los bienes al extranjero y colocarlos fuera hacen que eso no produzca trabajo y riqueza en nuestros propios Estados.</w:t>
      </w:r>
    </w:p>
    <w:p w:rsidR="006A4D59" w:rsidRPr="0067008A" w:rsidRDefault="00921711" w:rsidP="001D4E9F">
      <w:pPr>
        <w:spacing w:after="240" w:line="360" w:lineRule="auto"/>
        <w:jc w:val="both"/>
        <w:rPr>
          <w:rFonts w:ascii="Times New Roman" w:hAnsi="Times New Roman" w:cs="Times New Roman"/>
        </w:rPr>
      </w:pPr>
      <w:r w:rsidRPr="0067008A">
        <w:rPr>
          <w:rFonts w:ascii="Times New Roman" w:hAnsi="Times New Roman" w:cs="Times New Roman"/>
        </w:rPr>
        <w:t>La deuda pública se relaciona con los paraísos fiscales porque muchas veces los países deben recurrir a endeudamientos externos porque no tiene recursos para políticas de desarrollo y no tiene ese capital, eso</w:t>
      </w:r>
      <w:r w:rsidR="001D4E9F" w:rsidRPr="0067008A">
        <w:rPr>
          <w:rFonts w:ascii="Times New Roman" w:hAnsi="Times New Roman" w:cs="Times New Roman"/>
        </w:rPr>
        <w:t>s</w:t>
      </w:r>
      <w:r w:rsidRPr="0067008A">
        <w:rPr>
          <w:rFonts w:ascii="Times New Roman" w:hAnsi="Times New Roman" w:cs="Times New Roman"/>
        </w:rPr>
        <w:t xml:space="preserve"> mecanismos hace que los países sean empobrecidos y alteren las economías locales.</w:t>
      </w:r>
    </w:p>
    <w:p w:rsidR="006A4D59" w:rsidRPr="0067008A" w:rsidRDefault="00921711" w:rsidP="00C51A61">
      <w:pPr>
        <w:spacing w:after="240" w:line="360" w:lineRule="auto"/>
        <w:jc w:val="both"/>
        <w:rPr>
          <w:rFonts w:ascii="Times New Roman" w:hAnsi="Times New Roman" w:cs="Times New Roman"/>
        </w:rPr>
      </w:pPr>
      <w:r w:rsidRPr="0067008A">
        <w:rPr>
          <w:rFonts w:ascii="Times New Roman" w:hAnsi="Times New Roman" w:cs="Times New Roman"/>
        </w:rPr>
        <w:t>Los paraísos fiscales se hacen con una estrategia, planificación adecuada y un costo financiero muy grande, afectan la sostenibilidad de un país, sin lugar a dudas. No pueden hacerlo todas las personas, sino una élite que tiene recursos y un poder económico muy fuerte. Sin intermediarios y profesionales no puedes hacer funcionar y mantener cubiertas estas operaciones.</w:t>
      </w:r>
    </w:p>
    <w:p w:rsidR="006A4D59" w:rsidRPr="0067008A" w:rsidRDefault="00921711" w:rsidP="00C51A61">
      <w:pPr>
        <w:spacing w:after="240" w:line="360" w:lineRule="auto"/>
        <w:jc w:val="both"/>
        <w:rPr>
          <w:rFonts w:ascii="Times New Roman" w:hAnsi="Times New Roman" w:cs="Times New Roman"/>
        </w:rPr>
      </w:pPr>
      <w:r w:rsidRPr="0067008A">
        <w:rPr>
          <w:rFonts w:ascii="Times New Roman" w:hAnsi="Times New Roman" w:cs="Times New Roman"/>
        </w:rPr>
        <w:t>El fideicomiso puede ocultar tu activo, obtener mayor ganancia y pagar menor tributación, beneficiar a terceros a uno o varios y sin dejar registro. En esta práctica es común que se mantenga cierta cercanía familiar con el involucrado directo.</w:t>
      </w:r>
    </w:p>
    <w:p w:rsidR="006A4D59" w:rsidRPr="0067008A" w:rsidRDefault="00921711" w:rsidP="00DC4883">
      <w:pPr>
        <w:spacing w:after="240" w:line="360" w:lineRule="auto"/>
        <w:jc w:val="both"/>
        <w:rPr>
          <w:rFonts w:ascii="Times New Roman" w:hAnsi="Times New Roman" w:cs="Times New Roman"/>
          <w:b/>
        </w:rPr>
      </w:pPr>
      <w:r w:rsidRPr="0067008A">
        <w:rPr>
          <w:rFonts w:ascii="Times New Roman" w:hAnsi="Times New Roman" w:cs="Times New Roman"/>
        </w:rPr>
        <w:t>El atractivo de Panamá, Delaware y Dakota del Sur, se ha creado un plus para hacerlos atractivos con los mecanismos del no residente</w:t>
      </w:r>
      <w:r w:rsidR="001F07A3" w:rsidRPr="0067008A">
        <w:rPr>
          <w:rFonts w:ascii="Times New Roman" w:hAnsi="Times New Roman" w:cs="Times New Roman"/>
        </w:rPr>
        <w:t xml:space="preserve"> y</w:t>
      </w:r>
      <w:r w:rsidRPr="0067008A">
        <w:rPr>
          <w:rFonts w:ascii="Times New Roman" w:hAnsi="Times New Roman" w:cs="Times New Roman"/>
        </w:rPr>
        <w:t xml:space="preserve"> una de las condiciones es que no tenga actividad comercial en el luga</w:t>
      </w:r>
      <w:r w:rsidR="001F07A3" w:rsidRPr="0067008A">
        <w:rPr>
          <w:rFonts w:ascii="Times New Roman" w:hAnsi="Times New Roman" w:cs="Times New Roman"/>
        </w:rPr>
        <w:t>r</w:t>
      </w:r>
      <w:r w:rsidRPr="0067008A">
        <w:rPr>
          <w:rFonts w:ascii="Times New Roman" w:hAnsi="Times New Roman" w:cs="Times New Roman"/>
        </w:rPr>
        <w:t>. A nivel mundial hay que combatir estas prácticas, si queremos sociedades transparentes hay que comportarse como personas transparentes</w:t>
      </w:r>
      <w:r w:rsidRPr="0067008A">
        <w:rPr>
          <w:rFonts w:ascii="Times New Roman" w:hAnsi="Times New Roman" w:cs="Times New Roman"/>
          <w:b/>
        </w:rPr>
        <w:t>.</w:t>
      </w:r>
    </w:p>
    <w:p w:rsidR="006A4D59" w:rsidRPr="0067008A" w:rsidRDefault="00921711" w:rsidP="007949C4">
      <w:pPr>
        <w:pStyle w:val="Prrafodelista"/>
        <w:numPr>
          <w:ilvl w:val="0"/>
          <w:numId w:val="39"/>
        </w:numPr>
        <w:spacing w:after="240" w:line="360" w:lineRule="auto"/>
        <w:jc w:val="both"/>
      </w:pPr>
      <w:r w:rsidRPr="0067008A">
        <w:rPr>
          <w:b/>
          <w:highlight w:val="white"/>
        </w:rPr>
        <w:t xml:space="preserve">Continuación de la Sesión Ordinaria No. 034, segunda invitación realizada por la Comisión </w:t>
      </w:r>
      <w:r w:rsidRPr="0067008A">
        <w:rPr>
          <w:b/>
        </w:rPr>
        <w:t xml:space="preserve">a las personas relacionadas al caso “Pandora Papers”. </w:t>
      </w:r>
    </w:p>
    <w:p w:rsidR="006A4D59" w:rsidRPr="0067008A" w:rsidRDefault="007949C4" w:rsidP="00677E33">
      <w:pPr>
        <w:spacing w:after="240" w:line="360" w:lineRule="auto"/>
        <w:jc w:val="both"/>
        <w:rPr>
          <w:rFonts w:ascii="Times New Roman" w:hAnsi="Times New Roman" w:cs="Times New Roman"/>
        </w:rPr>
      </w:pPr>
      <w:r w:rsidRPr="0067008A">
        <w:rPr>
          <w:rFonts w:ascii="Times New Roman" w:hAnsi="Times New Roman" w:cs="Times New Roman"/>
          <w:bCs/>
        </w:rPr>
        <w:t>El</w:t>
      </w:r>
      <w:r w:rsidR="00921711" w:rsidRPr="0067008A">
        <w:rPr>
          <w:rFonts w:ascii="Times New Roman" w:hAnsi="Times New Roman" w:cs="Times New Roman"/>
        </w:rPr>
        <w:t xml:space="preserve"> 23 de octubre del 2021, la Comisión convocó nuevamente a las personas relacionadas con la investigación del caso Pandora Papers, estos son: Abg. Roger Arosemena Benítez, Notario del cantón Guayaquil, quien ha dado fé de los actos y contratos del señor Guillermo Lasso; María Lourdes Alcívar de Lasso, cónyuge del señor Guillermo Lasso; Santiago Xavier Lasso Alcívar, hijo del señor Guillermo Lasso; Jaime Durán Barba, asesor político del señor Guillermo Lasso; Arturo Serrano Salgado, director de empresas vinculadas a Guillermo Lasso; Miguel Macías Yerovi y Euvenia Touriz Mawyin, ex directivos de Banco de Guayaquil y actuales directores y socios en varias sociedades vinculadas al señor Guillermo Lasso</w:t>
      </w:r>
      <w:r w:rsidR="00B81FD6" w:rsidRPr="0067008A">
        <w:rPr>
          <w:rFonts w:ascii="Times New Roman" w:hAnsi="Times New Roman" w:cs="Times New Roman"/>
        </w:rPr>
        <w:t>; sin embargo, los convocados no asistieron ante esta Comisión.</w:t>
      </w:r>
    </w:p>
    <w:p w:rsidR="006A4D59" w:rsidRPr="0067008A" w:rsidRDefault="00921711" w:rsidP="00677E33">
      <w:pPr>
        <w:pStyle w:val="Prrafodelista"/>
        <w:numPr>
          <w:ilvl w:val="0"/>
          <w:numId w:val="39"/>
        </w:numPr>
        <w:shd w:val="clear" w:color="auto" w:fill="FFFFFF"/>
        <w:spacing w:after="240" w:line="360" w:lineRule="auto"/>
        <w:jc w:val="both"/>
      </w:pPr>
      <w:r w:rsidRPr="0067008A">
        <w:rPr>
          <w:b/>
        </w:rPr>
        <w:t xml:space="preserve">Continuación de la Sesión Ordinaria No. 034, </w:t>
      </w:r>
      <w:r w:rsidRPr="0067008A">
        <w:rPr>
          <w:b/>
          <w:highlight w:val="white"/>
        </w:rPr>
        <w:t xml:space="preserve">tercera invitación realizada por la Comisión </w:t>
      </w:r>
      <w:r w:rsidRPr="0067008A">
        <w:rPr>
          <w:b/>
        </w:rPr>
        <w:t>al Abg. Roger Arosemena Benítez</w:t>
      </w:r>
    </w:p>
    <w:p w:rsidR="006A4D59" w:rsidRPr="0067008A" w:rsidRDefault="00921711" w:rsidP="00B81FD6">
      <w:pPr>
        <w:shd w:val="clear" w:color="auto" w:fill="FFFFFF"/>
        <w:spacing w:after="240" w:line="360" w:lineRule="auto"/>
        <w:jc w:val="both"/>
        <w:rPr>
          <w:rFonts w:ascii="Times New Roman" w:hAnsi="Times New Roman" w:cs="Times New Roman"/>
        </w:rPr>
      </w:pPr>
      <w:r w:rsidRPr="0067008A">
        <w:rPr>
          <w:rFonts w:ascii="Times New Roman" w:hAnsi="Times New Roman" w:cs="Times New Roman"/>
        </w:rPr>
        <w:t>El 27 de octubre de 2021, la Comisión convocó por tercera ocasión al Ab. Roger Arosemena, Notario Público del cantón Guayaquil, para que informe sobre el otorgamiento de fé pública sobre varios actos y contratos realizados por el señor Guillermo Lasso. En la misma fecha, mediante correo electrónico, el señor Arosemena Benítez insistió en lo expuesto en su correo del 23 de octubre</w:t>
      </w:r>
      <w:r w:rsidR="00B81FD6" w:rsidRPr="0067008A">
        <w:rPr>
          <w:rFonts w:ascii="Times New Roman" w:hAnsi="Times New Roman" w:cs="Times New Roman"/>
        </w:rPr>
        <w:t xml:space="preserve"> (es decir indicó que no comparecerá ante esta Comisión)</w:t>
      </w:r>
      <w:r w:rsidRPr="0067008A">
        <w:rPr>
          <w:rFonts w:ascii="Times New Roman" w:hAnsi="Times New Roman" w:cs="Times New Roman"/>
        </w:rPr>
        <w:t xml:space="preserve">, a la vez que señaló </w:t>
      </w:r>
      <w:r w:rsidR="005625DC" w:rsidRPr="0067008A">
        <w:rPr>
          <w:rFonts w:ascii="Times New Roman" w:hAnsi="Times New Roman" w:cs="Times New Roman"/>
        </w:rPr>
        <w:t>que,</w:t>
      </w:r>
      <w:r w:rsidRPr="0067008A">
        <w:rPr>
          <w:rFonts w:ascii="Times New Roman" w:hAnsi="Times New Roman" w:cs="Times New Roman"/>
        </w:rPr>
        <w:t xml:space="preserve"> en el término previsto en la ley, daría contestación a los requerimientos efectuados por la asambleísta Esther Adelina Cuesta. </w:t>
      </w:r>
    </w:p>
    <w:p w:rsidR="006A4D59" w:rsidRPr="0067008A" w:rsidRDefault="00921711" w:rsidP="008641B7">
      <w:pPr>
        <w:pStyle w:val="Prrafodelista"/>
        <w:numPr>
          <w:ilvl w:val="0"/>
          <w:numId w:val="39"/>
        </w:numPr>
        <w:spacing w:after="240" w:line="360" w:lineRule="auto"/>
      </w:pPr>
      <w:r w:rsidRPr="0067008A">
        <w:rPr>
          <w:b/>
        </w:rPr>
        <w:t>Sesión 040-2021, nueva convocatoria al Servicio de Rentas Internas</w:t>
      </w:r>
    </w:p>
    <w:p w:rsidR="006A4D59" w:rsidRPr="0067008A" w:rsidRDefault="008641B7" w:rsidP="00217C56">
      <w:pPr>
        <w:spacing w:after="240" w:line="360" w:lineRule="auto"/>
        <w:jc w:val="both"/>
        <w:rPr>
          <w:rFonts w:ascii="Times New Roman" w:hAnsi="Times New Roman" w:cs="Times New Roman"/>
          <w:highlight w:val="white"/>
        </w:rPr>
      </w:pPr>
      <w:r w:rsidRPr="0067008A">
        <w:rPr>
          <w:rFonts w:ascii="Times New Roman" w:hAnsi="Times New Roman" w:cs="Times New Roman"/>
          <w:highlight w:val="white"/>
        </w:rPr>
        <w:t>El</w:t>
      </w:r>
      <w:r w:rsidR="00677E33" w:rsidRPr="0067008A">
        <w:rPr>
          <w:rFonts w:ascii="Times New Roman" w:hAnsi="Times New Roman" w:cs="Times New Roman"/>
          <w:highlight w:val="white"/>
        </w:rPr>
        <w:t xml:space="preserve"> </w:t>
      </w:r>
      <w:r w:rsidR="00921711" w:rsidRPr="0067008A">
        <w:rPr>
          <w:rFonts w:ascii="Times New Roman" w:hAnsi="Times New Roman" w:cs="Times New Roman"/>
          <w:highlight w:val="white"/>
        </w:rPr>
        <w:t>27 de octubre de 2021, a las 19h30</w:t>
      </w:r>
      <w:r w:rsidR="00921711" w:rsidRPr="0067008A">
        <w:rPr>
          <w:rFonts w:ascii="Times New Roman" w:hAnsi="Times New Roman" w:cs="Times New Roman"/>
        </w:rPr>
        <w:t xml:space="preserve">, se convocó nuevamente al </w:t>
      </w:r>
      <w:r w:rsidR="00921711" w:rsidRPr="0067008A">
        <w:rPr>
          <w:rFonts w:ascii="Times New Roman" w:hAnsi="Times New Roman" w:cs="Times New Roman"/>
          <w:highlight w:val="white"/>
        </w:rPr>
        <w:t xml:space="preserve">Servicio de Rentas Internas SRI, a fin de que brinde más información sobre la investigación denominada "Pandora Papers", y la presunta vinculación del Primer Mandatario del Ecuador en la misma. Sin embargo, la </w:t>
      </w:r>
      <w:r w:rsidRPr="0067008A">
        <w:rPr>
          <w:rFonts w:ascii="Times New Roman" w:hAnsi="Times New Roman" w:cs="Times New Roman"/>
          <w:highlight w:val="white"/>
        </w:rPr>
        <w:t xml:space="preserve">máxima autoridad </w:t>
      </w:r>
      <w:r w:rsidR="00921711" w:rsidRPr="0067008A">
        <w:rPr>
          <w:rFonts w:ascii="Times New Roman" w:hAnsi="Times New Roman" w:cs="Times New Roman"/>
          <w:highlight w:val="white"/>
        </w:rPr>
        <w:t>de la institución pública o un delegado a la misma</w:t>
      </w:r>
      <w:r w:rsidRPr="0067008A">
        <w:rPr>
          <w:rFonts w:ascii="Times New Roman" w:hAnsi="Times New Roman" w:cs="Times New Roman"/>
          <w:highlight w:val="white"/>
        </w:rPr>
        <w:t xml:space="preserve"> no asistieron ante dicha convocatoria</w:t>
      </w:r>
      <w:r w:rsidR="00921711" w:rsidRPr="0067008A">
        <w:rPr>
          <w:rFonts w:ascii="Times New Roman" w:hAnsi="Times New Roman" w:cs="Times New Roman"/>
          <w:highlight w:val="white"/>
        </w:rPr>
        <w:t xml:space="preserve">. </w:t>
      </w:r>
    </w:p>
    <w:p w:rsidR="006A4D59" w:rsidRPr="0067008A" w:rsidRDefault="00921711" w:rsidP="00677E33">
      <w:pPr>
        <w:pStyle w:val="Prrafodelista"/>
        <w:numPr>
          <w:ilvl w:val="0"/>
          <w:numId w:val="39"/>
        </w:numPr>
        <w:spacing w:after="240" w:line="360" w:lineRule="auto"/>
        <w:jc w:val="both"/>
      </w:pPr>
      <w:r w:rsidRPr="0067008A">
        <w:rPr>
          <w:b/>
        </w:rPr>
        <w:t xml:space="preserve">Sesión 041-2021, Comisión General con expertos nacionales e internacionales en temas de paraísos fiscales. </w:t>
      </w:r>
    </w:p>
    <w:p w:rsidR="006A4D59" w:rsidRPr="0067008A" w:rsidRDefault="00921711" w:rsidP="00677E33">
      <w:pPr>
        <w:spacing w:after="240" w:line="360" w:lineRule="auto"/>
        <w:jc w:val="both"/>
        <w:rPr>
          <w:rFonts w:ascii="Times New Roman" w:hAnsi="Times New Roman" w:cs="Times New Roman"/>
          <w:highlight w:val="white"/>
        </w:rPr>
      </w:pPr>
      <w:r w:rsidRPr="0067008A">
        <w:rPr>
          <w:rFonts w:ascii="Times New Roman" w:hAnsi="Times New Roman" w:cs="Times New Roman"/>
          <w:highlight w:val="white"/>
        </w:rPr>
        <w:t>El día 28 de octubre del 2021, la Comisión convocó a Martin Litwak y al Dr. Rodrigo Cordero, con la finalidad de que brinden un aporte técnico, desde el ámbito de su conocimiento, sobre la investigación denominada "Pandora Papers". Sin embargo, los invitados no asistieron a la mencionada sesión enviando las debidas excusas a la Comisión.</w:t>
      </w:r>
    </w:p>
    <w:p w:rsidR="006A4D59" w:rsidRPr="0067008A" w:rsidRDefault="00921711" w:rsidP="009C2C51">
      <w:pPr>
        <w:pStyle w:val="Prrafodelista"/>
        <w:numPr>
          <w:ilvl w:val="0"/>
          <w:numId w:val="39"/>
        </w:numPr>
        <w:spacing w:after="240" w:line="360" w:lineRule="auto"/>
        <w:jc w:val="both"/>
      </w:pPr>
      <w:r w:rsidRPr="0067008A">
        <w:rPr>
          <w:b/>
        </w:rPr>
        <w:t xml:space="preserve">Sesión 042-2021, Comisión General con expertos nacionales e internacionales en temas de paraísos fiscales. </w:t>
      </w:r>
    </w:p>
    <w:p w:rsidR="006A4D59" w:rsidRPr="0067008A" w:rsidRDefault="009C2C51" w:rsidP="00DC4883">
      <w:pPr>
        <w:spacing w:after="240" w:line="360" w:lineRule="auto"/>
        <w:jc w:val="both"/>
        <w:rPr>
          <w:rFonts w:ascii="Times New Roman" w:hAnsi="Times New Roman" w:cs="Times New Roman"/>
          <w:highlight w:val="white"/>
        </w:rPr>
      </w:pPr>
      <w:r w:rsidRPr="0067008A">
        <w:rPr>
          <w:rFonts w:ascii="Times New Roman" w:hAnsi="Times New Roman" w:cs="Times New Roman"/>
          <w:highlight w:val="white"/>
        </w:rPr>
        <w:t>El día 28 de octubre del 2021, la Comisión convocó al Secretario General de la Administración Pública y Despacho y al Secretario General de Comunicación</w:t>
      </w:r>
      <w:r w:rsidR="004E1565" w:rsidRPr="0067008A">
        <w:rPr>
          <w:rFonts w:ascii="Times New Roman" w:hAnsi="Times New Roman" w:cs="Times New Roman"/>
          <w:highlight w:val="white"/>
        </w:rPr>
        <w:t xml:space="preserve"> (</w:t>
      </w:r>
      <w:r w:rsidRPr="0067008A">
        <w:rPr>
          <w:rFonts w:ascii="Times New Roman" w:hAnsi="Times New Roman" w:cs="Times New Roman"/>
          <w:highlight w:val="white"/>
        </w:rPr>
        <w:t>los dos funcionarios pertenecen a la Presidencia de la República</w:t>
      </w:r>
      <w:r w:rsidR="004E1565" w:rsidRPr="0067008A">
        <w:rPr>
          <w:rFonts w:ascii="Times New Roman" w:hAnsi="Times New Roman" w:cs="Times New Roman"/>
          <w:highlight w:val="white"/>
        </w:rPr>
        <w:t>)</w:t>
      </w:r>
      <w:r w:rsidRPr="0067008A">
        <w:rPr>
          <w:rFonts w:ascii="Times New Roman" w:hAnsi="Times New Roman" w:cs="Times New Roman"/>
          <w:highlight w:val="white"/>
        </w:rPr>
        <w:t>. A esta sesión compareció únicamente el Secretario General de la Administración Pública y Despacho</w:t>
      </w:r>
      <w:r w:rsidR="004E1565" w:rsidRPr="0067008A">
        <w:rPr>
          <w:rFonts w:ascii="Times New Roman" w:hAnsi="Times New Roman" w:cs="Times New Roman"/>
          <w:highlight w:val="white"/>
        </w:rPr>
        <w:t xml:space="preserve"> quien, ante las múltiples preguntas efectuadas por las y los Asambleístas se limitó a responder que había sido nombrado como Secretario en el mes de mayo de 2021, y que a partir de esa fecha el debe responder por sus actividades, antes de ello no tiene la obligación.</w:t>
      </w:r>
    </w:p>
    <w:p w:rsidR="006A4D59" w:rsidRPr="0067008A" w:rsidRDefault="00921711" w:rsidP="00040F9C">
      <w:pPr>
        <w:spacing w:after="240" w:line="360" w:lineRule="auto"/>
        <w:rPr>
          <w:rFonts w:ascii="Times New Roman" w:hAnsi="Times New Roman" w:cs="Times New Roman"/>
          <w:b/>
        </w:rPr>
      </w:pPr>
      <w:r w:rsidRPr="0067008A">
        <w:rPr>
          <w:rFonts w:ascii="Times New Roman" w:hAnsi="Times New Roman" w:cs="Times New Roman"/>
          <w:b/>
        </w:rPr>
        <w:t xml:space="preserve">7. </w:t>
      </w:r>
      <w:r w:rsidR="00EA2B7D" w:rsidRPr="0067008A">
        <w:rPr>
          <w:rFonts w:ascii="Times New Roman" w:hAnsi="Times New Roman" w:cs="Times New Roman"/>
          <w:b/>
        </w:rPr>
        <w:t>PLAZO PARA LA EMISIÓN DEL INFORME RESPECTIVO POR PARTE DE LA COMISIÓN</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Conforme lo establece la Resolución RL-2021-2023-032 de</w:t>
      </w:r>
      <w:r w:rsidR="00677E33" w:rsidRPr="0067008A">
        <w:rPr>
          <w:rFonts w:ascii="Times New Roman" w:hAnsi="Times New Roman" w:cs="Times New Roman"/>
        </w:rPr>
        <w:t xml:space="preserve"> </w:t>
      </w:r>
      <w:r w:rsidRPr="0067008A">
        <w:rPr>
          <w:rFonts w:ascii="Times New Roman" w:hAnsi="Times New Roman" w:cs="Times New Roman"/>
        </w:rPr>
        <w:t>07 de octubre de 2021, el Pleno de la Asamblea Nacional, con</w:t>
      </w:r>
      <w:r w:rsidR="00677E33" w:rsidRPr="0067008A">
        <w:rPr>
          <w:rFonts w:ascii="Times New Roman" w:hAnsi="Times New Roman" w:cs="Times New Roman"/>
        </w:rPr>
        <w:t xml:space="preserve"> </w:t>
      </w:r>
      <w:r w:rsidRPr="0067008A">
        <w:rPr>
          <w:rFonts w:ascii="Times New Roman" w:hAnsi="Times New Roman" w:cs="Times New Roman"/>
        </w:rPr>
        <w:t>fundamento en el artículo 77 de la Ley Orgánica de la Función Legislativa</w:t>
      </w:r>
      <w:r w:rsidR="00EA2B7D" w:rsidRPr="0067008A">
        <w:rPr>
          <w:rFonts w:ascii="Times New Roman" w:hAnsi="Times New Roman" w:cs="Times New Roman"/>
        </w:rPr>
        <w:t>,</w:t>
      </w:r>
      <w:r w:rsidRPr="0067008A">
        <w:rPr>
          <w:rFonts w:ascii="Times New Roman" w:hAnsi="Times New Roman" w:cs="Times New Roman"/>
        </w:rPr>
        <w:t xml:space="preserve"> dispuso que en el plazo no mayor a treinta días contados a partir de la notificación de la mencionada Resolución, se elabore un informe pormenorizado</w:t>
      </w:r>
      <w:r w:rsidR="00EA2B7D" w:rsidRPr="0067008A">
        <w:rPr>
          <w:rFonts w:ascii="Times New Roman" w:hAnsi="Times New Roman" w:cs="Times New Roman"/>
        </w:rPr>
        <w:t xml:space="preserve"> </w:t>
      </w:r>
      <w:r w:rsidRPr="0067008A">
        <w:rPr>
          <w:rFonts w:ascii="Times New Roman" w:hAnsi="Times New Roman" w:cs="Times New Roman"/>
        </w:rPr>
        <w:t xml:space="preserve">con sus respectivas recomendaciones. La Comisión Especializada Permanente de Garantías Constitucionales, Derechos Humanos, Derechos Colectivos y la Inculturalidad fue notificada por parte de la Secretaria General de la Asamblea Nacional, el 8 de octubre de 2021, por lo que el plazo determinado fenese el 7 de noviembre de 2021. </w:t>
      </w:r>
    </w:p>
    <w:p w:rsidR="006A4D59" w:rsidRPr="0067008A" w:rsidRDefault="00A51402" w:rsidP="00677E33">
      <w:pPr>
        <w:pStyle w:val="Prrafodelista"/>
        <w:numPr>
          <w:ilvl w:val="0"/>
          <w:numId w:val="41"/>
        </w:numPr>
        <w:spacing w:after="240" w:line="360" w:lineRule="auto"/>
      </w:pPr>
      <w:r w:rsidRPr="0067008A">
        <w:rPr>
          <w:b/>
        </w:rPr>
        <w:t>PARAISOS FISCALES</w:t>
      </w:r>
      <w:r w:rsidR="002B23C3" w:rsidRPr="0067008A">
        <w:rPr>
          <w:b/>
        </w:rPr>
        <w:t xml:space="preserve">. Marco conceptual </w:t>
      </w:r>
      <w:r w:rsidRPr="0067008A">
        <w:rPr>
          <w:b/>
        </w:rPr>
        <w:t xml:space="preserve">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Ante la inexistencia de una definición aceptada mundialmente de lo que son los paraísos fiscales, pero al ser real esta entidad con presencia global, la Comisión se remitió al concepto que emplea la Organización para la Cooperación y el Desarrollo Económicos (OCDE), organización que aglutina los países más ricos del planeta. Allí se identifica como paraísos fiscales a aquellas jurisdicciones que cumplen con cuatro factores:</w:t>
      </w:r>
    </w:p>
    <w:p w:rsidR="006A4D59" w:rsidRPr="0067008A" w:rsidRDefault="006A4D59" w:rsidP="00677E33">
      <w:pPr>
        <w:spacing w:after="240" w:line="360" w:lineRule="auto"/>
        <w:jc w:val="both"/>
        <w:rPr>
          <w:rFonts w:ascii="Times New Roman" w:hAnsi="Times New Roman" w:cs="Times New Roman"/>
        </w:rPr>
      </w:pPr>
    </w:p>
    <w:p w:rsidR="006A4D59" w:rsidRPr="0067008A" w:rsidRDefault="00921711" w:rsidP="00677E33">
      <w:pPr>
        <w:numPr>
          <w:ilvl w:val="0"/>
          <w:numId w:val="4"/>
        </w:numPr>
        <w:spacing w:after="240" w:line="360" w:lineRule="auto"/>
        <w:jc w:val="both"/>
        <w:rPr>
          <w:rFonts w:ascii="Times New Roman" w:hAnsi="Times New Roman" w:cs="Times New Roman"/>
        </w:rPr>
      </w:pPr>
      <w:r w:rsidRPr="0067008A">
        <w:rPr>
          <w:rFonts w:ascii="Times New Roman" w:hAnsi="Times New Roman" w:cs="Times New Roman"/>
        </w:rPr>
        <w:t>Impuestos mínimos o inexistentes sobre los ingresos</w:t>
      </w:r>
    </w:p>
    <w:p w:rsidR="006A4D59" w:rsidRPr="0067008A" w:rsidRDefault="00921711" w:rsidP="00677E33">
      <w:pPr>
        <w:numPr>
          <w:ilvl w:val="0"/>
          <w:numId w:val="4"/>
        </w:numPr>
        <w:spacing w:after="240" w:line="360" w:lineRule="auto"/>
        <w:jc w:val="both"/>
        <w:rPr>
          <w:rFonts w:ascii="Times New Roman" w:hAnsi="Times New Roman" w:cs="Times New Roman"/>
        </w:rPr>
      </w:pPr>
      <w:r w:rsidRPr="0067008A">
        <w:rPr>
          <w:rFonts w:ascii="Times New Roman" w:hAnsi="Times New Roman" w:cs="Times New Roman"/>
        </w:rPr>
        <w:t>Falta de un sistema para el intercambio de información</w:t>
      </w:r>
    </w:p>
    <w:p w:rsidR="006A4D59" w:rsidRPr="0067008A" w:rsidRDefault="00921711" w:rsidP="00677E33">
      <w:pPr>
        <w:numPr>
          <w:ilvl w:val="0"/>
          <w:numId w:val="4"/>
        </w:numPr>
        <w:spacing w:after="240" w:line="360" w:lineRule="auto"/>
        <w:jc w:val="both"/>
        <w:rPr>
          <w:rFonts w:ascii="Times New Roman" w:hAnsi="Times New Roman" w:cs="Times New Roman"/>
        </w:rPr>
      </w:pPr>
      <w:r w:rsidRPr="0067008A">
        <w:rPr>
          <w:rFonts w:ascii="Times New Roman" w:hAnsi="Times New Roman" w:cs="Times New Roman"/>
        </w:rPr>
        <w:t>Falta de transparencia</w:t>
      </w:r>
    </w:p>
    <w:p w:rsidR="006A4D59" w:rsidRPr="0067008A" w:rsidRDefault="00921711" w:rsidP="00A51402">
      <w:pPr>
        <w:numPr>
          <w:ilvl w:val="0"/>
          <w:numId w:val="4"/>
        </w:numPr>
        <w:spacing w:after="240" w:line="360" w:lineRule="auto"/>
        <w:jc w:val="both"/>
        <w:rPr>
          <w:rFonts w:ascii="Times New Roman" w:hAnsi="Times New Roman" w:cs="Times New Roman"/>
        </w:rPr>
      </w:pPr>
      <w:r w:rsidRPr="0067008A">
        <w:rPr>
          <w:rFonts w:ascii="Times New Roman" w:hAnsi="Times New Roman" w:cs="Times New Roman"/>
        </w:rPr>
        <w:t>Ausencia de actividades económicas sustanciales en el destino</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Son jurisdicciones que pueden estar en el territorio de un país o región, como los EEUU o Europa; son países enteros que asumen el papel de paraísos fiscales, como Panamá. Las listas de paraísos fiscales varían muchas veces por presiones diplomáticas de ciertos países que no desean aparecer en ese tipo de listados. En otras ocasiones por tratarse de jurisdicciones relativamente recientes cuya importancia ha aparecido por las revelaciones de este tipo de operaciones, en su mayoría de tipo financiero o bursátil.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Gracias a las sucesivas revelaciones </w:t>
      </w:r>
      <w:r w:rsidR="00A64D44" w:rsidRPr="0067008A">
        <w:rPr>
          <w:rFonts w:ascii="Times New Roman" w:hAnsi="Times New Roman" w:cs="Times New Roman"/>
        </w:rPr>
        <w:t>se conoce</w:t>
      </w:r>
      <w:r w:rsidRPr="0067008A">
        <w:rPr>
          <w:rFonts w:ascii="Times New Roman" w:hAnsi="Times New Roman" w:cs="Times New Roman"/>
        </w:rPr>
        <w:t xml:space="preserve"> la enorme importancia que tienen estos paraísos fiscales para la economía mundial, con una serie de consecuencias que las veremos de forma breve a continuación.</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En un artículo publicado recientemente en el The New York Times</w:t>
      </w:r>
      <w:r w:rsidR="00677E33" w:rsidRPr="0067008A">
        <w:rPr>
          <w:rFonts w:ascii="Times New Roman" w:hAnsi="Times New Roman" w:cs="Times New Roman"/>
        </w:rPr>
        <w:t xml:space="preserve"> </w:t>
      </w:r>
      <w:r w:rsidRPr="0067008A">
        <w:rPr>
          <w:rFonts w:ascii="Times New Roman" w:hAnsi="Times New Roman" w:cs="Times New Roman"/>
        </w:rPr>
        <w:t>se establece que</w:t>
      </w:r>
      <w:r w:rsidR="00A64D44" w:rsidRPr="0067008A">
        <w:rPr>
          <w:rFonts w:ascii="Times New Roman" w:hAnsi="Times New Roman" w:cs="Times New Roman"/>
        </w:rPr>
        <w:t xml:space="preserve"> l</w:t>
      </w:r>
      <w:r w:rsidRPr="0067008A">
        <w:rPr>
          <w:rFonts w:ascii="Times New Roman" w:hAnsi="Times New Roman" w:cs="Times New Roman"/>
        </w:rPr>
        <w:t>a riqueza que guardan los paraísos fiscales es asombrosa: los estimados van de 6 billones de dólares a 36 billones de dólares. Y algunos paraísos fiscales están más cerca de casa de lo que uno se podría imaginar. Desde hace tiempo, Estados Unidos, con sus sospechosas empresas fantasma de Delaware y fideicomisos de Dakota del Sur, ha sido una parte importante del sistema secreto. Un grupo de países europeos, entre ellos Luxemburgo, Irlanda y Suiza, ofrecen otro menú de rutas de escape. Claro está, Asia tiene a Hong Kong y Singapur.</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¿Para qué sirven estas jurisdicciones territoriales? Un paraíso fiscal ofrece a individuos y empresas extranjeras poca o ninguna carga tributaria en un entorno considerado como estable política y económicamente. Entre otros beneficios adicionales que obtienen quienes recurren a estos espacios considerados como paraísos fiscales se encuentran la exención de impuestos sobre intereses devengados por cuentas bancarias, los dividendos de acciones, así como otros activos financieros. Tampoco hay que pagar impuestos por los incrementos del patrimonio, ni por ninguna actividad comercial. Entre los argumentos que se esgrimen parecen también otras razones, por ejemplo</w:t>
      </w:r>
      <w:r w:rsidR="00CB27C2" w:rsidRPr="0067008A">
        <w:rPr>
          <w:rFonts w:ascii="Times New Roman" w:hAnsi="Times New Roman" w:cs="Times New Roman"/>
        </w:rPr>
        <w:t>:</w:t>
      </w:r>
      <w:r w:rsidRPr="0067008A">
        <w:rPr>
          <w:rFonts w:ascii="Times New Roman" w:hAnsi="Times New Roman" w:cs="Times New Roman"/>
        </w:rPr>
        <w:t xml:space="preserve"> con el fin de salvaguardarlos de socios sin escrúpulos o de intentos de extorsión. La posibilidad de una libre movilidad de capitales en un paraíso fiscal o a través de él es vista como una de las mayores ventajas -por quienes lo utilizan- para impulsar el funcionamiento de la economía global; un argumento que va perdiendo fuerza en la medida que las finanzas internacionales están cada vez más insertas en la lógica de las tecnologías de comunicación modernas.</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Desde la otra vertiente, hay varias críticas a estos paraísos fiscales por la opacidad de las operaciones que allí se realizan. Esto se expresa en la poca o ninguna información financiera que proporcionan a las autoridades fiscales extranjeras. El éxito de dichas jurisdicciones está atado a la posibilidad de mantener la confidencialidad de las operaciones que se realizan en su seno; una de las jurisdicciones más cotizadas por esa razón en el último tiempo es Dakota del Sur en los EEUU (un paraíso fiscal conocido por sus rigurosas disposiciones para guardar la confidencialidad de dichos depósitos, tanto así que se lo conoce como “el paraíso fiscal que los ricos aman”).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En síntesis, el objetivo principal del manejo de fondos offshore es crear opacidad en el origen, propiedad</w:t>
      </w:r>
      <w:r w:rsidR="00CB27C2" w:rsidRPr="0067008A">
        <w:rPr>
          <w:rFonts w:ascii="Times New Roman" w:hAnsi="Times New Roman" w:cs="Times New Roman"/>
        </w:rPr>
        <w:t xml:space="preserve"> y</w:t>
      </w:r>
      <w:r w:rsidRPr="0067008A">
        <w:rPr>
          <w:rFonts w:ascii="Times New Roman" w:hAnsi="Times New Roman" w:cs="Times New Roman"/>
        </w:rPr>
        <w:t xml:space="preserve"> movimiento de los bienes. Esta opacidad se refuerza en el caso de la ubicación de los fondos en paraísos fiscales</w:t>
      </w:r>
      <w:r w:rsidR="00C506FA" w:rsidRPr="0067008A">
        <w:rPr>
          <w:rFonts w:ascii="Times New Roman" w:hAnsi="Times New Roman" w:cs="Times New Roman"/>
        </w:rPr>
        <w:t xml:space="preserve"> </w:t>
      </w:r>
      <w:r w:rsidRPr="0067008A">
        <w:rPr>
          <w:rFonts w:ascii="Times New Roman" w:hAnsi="Times New Roman" w:cs="Times New Roman"/>
        </w:rPr>
        <w:t xml:space="preserve">que cuentan con bajos controles y exención o bajos niveles de imposiciones. Hay una cadena de traspasos, disolución de empresas que actúan funcionalmente por un tiempo y luego desaparecen, después de colocar capas de opacidad.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Esta opacidad explica la creciente cantidad de críticas a su existencia. Según un experto de economía internacional Oscar Ugarteche, estas jurisdicciones son dignas herederas de las cuevas de corsarios piratas del siglo XVI que fueron espacios clave de acumulación originaria para el naciente capitalismo.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También es importante preguntarse cómo se esconden esos enormes recursos financieros en los paraísos fiscales. Casi 12 millones de registros financieros confidenciales que fueron filtrados por los Papeles de Pandora pintan un panorama detallado sobre los métodos que emplean las figuras públicas para disimular sus fortunas, como reconocen muchos medios de comunicación internacionales que se hacen eco de las revelaciones formuladas por el Consorcio de Periodistas Internacionales (ICIJ). Y su importancia cobró redoblada fuerza en el contexto de una brecha cada vez más aguda -y empeorada por la pandemia- entre las personas ricas y pobres del mundo.</w:t>
      </w:r>
    </w:p>
    <w:p w:rsidR="006A4D59" w:rsidRPr="0067008A" w:rsidRDefault="008E632C" w:rsidP="00677E33">
      <w:pPr>
        <w:spacing w:after="240" w:line="360" w:lineRule="auto"/>
        <w:jc w:val="both"/>
        <w:rPr>
          <w:rFonts w:ascii="Times New Roman" w:hAnsi="Times New Roman" w:cs="Times New Roman"/>
          <w:i/>
        </w:rPr>
      </w:pPr>
      <w:r w:rsidRPr="0067008A">
        <w:rPr>
          <w:rFonts w:ascii="Times New Roman" w:hAnsi="Times New Roman" w:cs="Times New Roman"/>
        </w:rPr>
        <w:t>En este contexto, el artículo publicado por</w:t>
      </w:r>
      <w:r w:rsidR="00921711" w:rsidRPr="0067008A">
        <w:rPr>
          <w:rFonts w:ascii="Times New Roman" w:hAnsi="Times New Roman" w:cs="Times New Roman"/>
        </w:rPr>
        <w:t xml:space="preserve"> The New York Times, </w:t>
      </w:r>
      <w:r w:rsidRPr="0067008A">
        <w:rPr>
          <w:rFonts w:ascii="Times New Roman" w:hAnsi="Times New Roman" w:cs="Times New Roman"/>
        </w:rPr>
        <w:t>concluye que</w:t>
      </w:r>
      <w:r w:rsidR="00921711" w:rsidRPr="0067008A">
        <w:rPr>
          <w:rFonts w:ascii="Times New Roman" w:hAnsi="Times New Roman" w:cs="Times New Roman"/>
        </w:rPr>
        <w:t xml:space="preserve"> </w:t>
      </w:r>
      <w:r w:rsidR="00921711" w:rsidRPr="0067008A">
        <w:rPr>
          <w:rFonts w:ascii="Times New Roman" w:hAnsi="Times New Roman" w:cs="Times New Roman"/>
          <w:i/>
        </w:rPr>
        <w:t>“</w:t>
      </w:r>
      <w:r w:rsidRPr="0067008A">
        <w:rPr>
          <w:rFonts w:ascii="Times New Roman" w:hAnsi="Times New Roman" w:cs="Times New Roman"/>
          <w:i/>
        </w:rPr>
        <w:t>(</w:t>
      </w:r>
      <w:r w:rsidR="00921711" w:rsidRPr="0067008A">
        <w:rPr>
          <w:rFonts w:ascii="Times New Roman" w:hAnsi="Times New Roman" w:cs="Times New Roman"/>
          <w:i/>
        </w:rPr>
        <w:t>…</w:t>
      </w:r>
      <w:r w:rsidRPr="0067008A">
        <w:rPr>
          <w:rFonts w:ascii="Times New Roman" w:hAnsi="Times New Roman" w:cs="Times New Roman"/>
          <w:i/>
        </w:rPr>
        <w:t xml:space="preserve">) </w:t>
      </w:r>
      <w:r w:rsidR="00921711" w:rsidRPr="0067008A">
        <w:rPr>
          <w:rFonts w:ascii="Times New Roman" w:hAnsi="Times New Roman" w:cs="Times New Roman"/>
          <w:i/>
        </w:rPr>
        <w:t>el que más sufre es el mundo. Para los empresarios sospechosos y los líderes políticos con muchos años en el poder, el ecosistema extraterritorial brinda impunidad, ocultamiento de capitales y protección de las riquezas. El sistema, irresponsable y a menudo no rastreable, garantiza que la prosperidad siga siendo un privilegio de muy pocos. Para poner un alto a la desigualdad y la injusticia, que expuso de forma tan cruda la pandemia, debemos enfrentar a los paraísos fiscales</w:t>
      </w:r>
      <w:r w:rsidR="00DD3539" w:rsidRPr="0067008A">
        <w:rPr>
          <w:rFonts w:ascii="Times New Roman" w:hAnsi="Times New Roman" w:cs="Times New Roman"/>
          <w:i/>
        </w:rPr>
        <w:t xml:space="preserve"> (</w:t>
      </w:r>
      <w:r w:rsidR="00921711" w:rsidRPr="0067008A">
        <w:rPr>
          <w:rFonts w:ascii="Times New Roman" w:hAnsi="Times New Roman" w:cs="Times New Roman"/>
          <w:i/>
        </w:rPr>
        <w:t>…</w:t>
      </w:r>
      <w:r w:rsidR="00DD3539" w:rsidRPr="0067008A">
        <w:rPr>
          <w:rFonts w:ascii="Times New Roman" w:hAnsi="Times New Roman" w:cs="Times New Roman"/>
          <w:i/>
        </w:rPr>
        <w:t>)</w:t>
      </w:r>
      <w:r w:rsidR="00921711" w:rsidRPr="0067008A">
        <w:rPr>
          <w:rFonts w:ascii="Times New Roman" w:hAnsi="Times New Roman" w:cs="Times New Roman"/>
          <w:i/>
        </w:rPr>
        <w:t>”</w:t>
      </w:r>
      <w:r w:rsidR="00DD3539" w:rsidRPr="0067008A">
        <w:rPr>
          <w:rFonts w:ascii="Times New Roman" w:hAnsi="Times New Roman" w:cs="Times New Roman"/>
          <w:i/>
        </w:rPr>
        <w:t>.</w:t>
      </w:r>
    </w:p>
    <w:p w:rsidR="006A4D59" w:rsidRPr="0067008A" w:rsidRDefault="006A4D59" w:rsidP="00677E33">
      <w:pPr>
        <w:spacing w:after="240" w:line="360" w:lineRule="auto"/>
        <w:jc w:val="both"/>
        <w:rPr>
          <w:rFonts w:ascii="Times New Roman" w:hAnsi="Times New Roman" w:cs="Times New Roman"/>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Un “paraíso fiscal” es una traducción del inglés tax haven, literalmente refugio fiscal. Suelen ser países o territorios pequeños que buscan atraer a clientes e inversionistas en el extranjero con impuestos bajos, facilidad para abrir empresas y confidencialidad en los registros. El anonimato es un punto crucial y dada la opacidad que cubren estas inversiones, estas pueden convertirse en campo fértil para delitos como fraude, blanqueo de capitales y actos de corrupción.</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En la “industria offshore” es preciso tener presente quién o quiénes son los beneficiarios de las inversiones, porque estos beneficiarios directos o indirectos son los dueños reales de los bienes o inversiones, datos que son guardados con el mayor sigilo en los paraísos fiscales o en sitios como Dakota del Sur, Alaska, Delaware, Nevada y New Hampshire en EEUU. Estos beneficiarios son denominados como “ultimate benefitial owner”.</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Un fideicomiso se conoce como “trust”, en inglés. Es un contrato con el que se transfiere el título de una propiedad a un tercero. Esa persona o empresa (el fideicomisario) se convierte en el dueño legal de ese activo y se encarga de administrarlo a favor de un beneficiario. A esa estructura básica se le suma también la figura del protector, que se encarga de supervisar las tareas del fideicomisario y sustituirlo, si es necesario. Los fideicomisos son particularmente opacos porque no suele haber registros públicos de ellos en las jurisdicciones offshore y hacen aún más difícil identificar al propietario real de una casa o un yate, por ejemplo.</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El encargo de la Asamblea a la Comisión se refiere a establecer posibles vínculos y responsabilidades del Presidente de la República, Guillermo Lasso</w:t>
      </w:r>
      <w:r w:rsidR="00B820B7" w:rsidRPr="0067008A">
        <w:rPr>
          <w:rFonts w:ascii="Times New Roman" w:hAnsi="Times New Roman" w:cs="Times New Roman"/>
        </w:rPr>
        <w:t xml:space="preserve"> Mendoza</w:t>
      </w:r>
      <w:r w:rsidRPr="0067008A">
        <w:rPr>
          <w:rFonts w:ascii="Times New Roman" w:hAnsi="Times New Roman" w:cs="Times New Roman"/>
        </w:rPr>
        <w:t xml:space="preserve">, a partir de la denuncias de los “Pandora Papers”. El marco conceptual abarca el campo de la legalidad, por lo cual </w:t>
      </w:r>
      <w:r w:rsidR="00B820B7" w:rsidRPr="0067008A">
        <w:rPr>
          <w:rFonts w:ascii="Times New Roman" w:hAnsi="Times New Roman" w:cs="Times New Roman"/>
        </w:rPr>
        <w:t xml:space="preserve">esta Comisión considera </w:t>
      </w:r>
      <w:r w:rsidRPr="0067008A">
        <w:rPr>
          <w:rFonts w:ascii="Times New Roman" w:hAnsi="Times New Roman" w:cs="Times New Roman"/>
        </w:rPr>
        <w:t>el marco jurídico vigente en los diversos momentos del proceso investigado, Constitución, Tratados internacionales, leyes. Y se extiende también al marco de legitimidad y los efectos económicos, sociales y políticos que pueden devenir de estos hechos. En particular, se requiere un marco de análisis ético de los diversos momentos de decisión y actuación del señor Guillermo Lasso Mendoza.</w:t>
      </w:r>
    </w:p>
    <w:p w:rsidR="006A4D59" w:rsidRPr="0067008A" w:rsidRDefault="00921711" w:rsidP="00162FBA">
      <w:pPr>
        <w:spacing w:after="240" w:line="360" w:lineRule="auto"/>
        <w:jc w:val="both"/>
        <w:rPr>
          <w:rFonts w:ascii="Times New Roman" w:hAnsi="Times New Roman" w:cs="Times New Roman"/>
        </w:rPr>
      </w:pPr>
      <w:r w:rsidRPr="0067008A">
        <w:rPr>
          <w:rFonts w:ascii="Times New Roman" w:hAnsi="Times New Roman" w:cs="Times New Roman"/>
        </w:rPr>
        <w:t xml:space="preserve">Adela Cortina, </w:t>
      </w:r>
      <w:r w:rsidR="00B820B7" w:rsidRPr="0067008A">
        <w:rPr>
          <w:rFonts w:ascii="Times New Roman" w:hAnsi="Times New Roman" w:cs="Times New Roman"/>
        </w:rPr>
        <w:t>efectúa la siguiente pregunta:</w:t>
      </w:r>
      <w:r w:rsidRPr="0067008A">
        <w:rPr>
          <w:rFonts w:ascii="Times New Roman" w:hAnsi="Times New Roman" w:cs="Times New Roman"/>
        </w:rPr>
        <w:t xml:space="preserve"> ¿Para qué sirve realmente la ética?</w:t>
      </w:r>
      <w:r w:rsidR="00677E33" w:rsidRPr="0067008A">
        <w:rPr>
          <w:rFonts w:ascii="Times New Roman" w:hAnsi="Times New Roman" w:cs="Times New Roman"/>
        </w:rPr>
        <w:t xml:space="preserve"> </w:t>
      </w:r>
      <w:r w:rsidRPr="0067008A">
        <w:rPr>
          <w:rFonts w:ascii="Times New Roman" w:hAnsi="Times New Roman" w:cs="Times New Roman"/>
        </w:rPr>
        <w:t xml:space="preserve">Y responde: “Ninguna sociedad puede funcionar si sus miembros no mantienen una actitud ética. Ningún país puede salir de la crisis si las conductas inmorales de sus ciudadanos y políticos siguen proliferando con toda impunidad.” </w:t>
      </w:r>
      <w:r w:rsidR="00162FBA" w:rsidRPr="0067008A">
        <w:rPr>
          <w:rFonts w:ascii="Times New Roman" w:hAnsi="Times New Roman" w:cs="Times New Roman"/>
        </w:rPr>
        <w:t xml:space="preserve">La autora </w:t>
      </w:r>
      <w:r w:rsidRPr="0067008A">
        <w:rPr>
          <w:rFonts w:ascii="Times New Roman" w:hAnsi="Times New Roman" w:cs="Times New Roman"/>
        </w:rPr>
        <w:t xml:space="preserve">recuerda “que la moral tiene algo que ver con no dañar, pero no siempre y no sólo con eso; también con no defraudar la confianza.” </w:t>
      </w:r>
    </w:p>
    <w:p w:rsidR="006A4D59" w:rsidRPr="0067008A" w:rsidRDefault="00921711" w:rsidP="00677E33">
      <w:pPr>
        <w:spacing w:after="240" w:line="360" w:lineRule="auto"/>
        <w:rPr>
          <w:rFonts w:ascii="Times New Roman" w:hAnsi="Times New Roman" w:cs="Times New Roman"/>
        </w:rPr>
      </w:pPr>
      <w:r w:rsidRPr="0067008A">
        <w:rPr>
          <w:rFonts w:ascii="Times New Roman" w:hAnsi="Times New Roman" w:cs="Times New Roman"/>
          <w:b/>
        </w:rPr>
        <w:t>9.</w:t>
      </w:r>
      <w:r w:rsidR="00677E33" w:rsidRPr="0067008A">
        <w:rPr>
          <w:rFonts w:ascii="Times New Roman" w:hAnsi="Times New Roman" w:cs="Times New Roman"/>
          <w:b/>
        </w:rPr>
        <w:t xml:space="preserve"> </w:t>
      </w:r>
      <w:r w:rsidR="00162FBA" w:rsidRPr="0067008A">
        <w:rPr>
          <w:rFonts w:ascii="Times New Roman" w:hAnsi="Times New Roman" w:cs="Times New Roman"/>
          <w:b/>
        </w:rPr>
        <w:t>CONTEXTO DE LA INVESTIGACIÓN Y RECOPILACIÓN DE DATOS E INFORMACIÓN</w:t>
      </w:r>
    </w:p>
    <w:p w:rsidR="006A4D59" w:rsidRPr="0067008A" w:rsidRDefault="006A4D59" w:rsidP="00677E33">
      <w:pPr>
        <w:spacing w:after="240" w:line="360" w:lineRule="auto"/>
        <w:rPr>
          <w:rFonts w:ascii="Times New Roman" w:hAnsi="Times New Roman" w:cs="Times New Roman"/>
          <w:b/>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b/>
        </w:rPr>
        <w:t>Contexto internacional</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La Organización para la Cooperación y el Desarrollo Económicos OCDE, el Grupo de Acción Financiera Internacional GAFI y el Grupo de los 20 viene desde hace muchos años cuestionando existencia de paraísos fiscales</w:t>
      </w:r>
      <w:r w:rsidR="00B641D7" w:rsidRPr="0067008A">
        <w:rPr>
          <w:rFonts w:ascii="Times New Roman" w:hAnsi="Times New Roman" w:cs="Times New Roman"/>
        </w:rPr>
        <w:t>;</w:t>
      </w:r>
      <w:r w:rsidRPr="0067008A">
        <w:rPr>
          <w:rFonts w:ascii="Times New Roman" w:hAnsi="Times New Roman" w:cs="Times New Roman"/>
        </w:rPr>
        <w:t xml:space="preserve"> porque ello</w:t>
      </w:r>
      <w:r w:rsidR="00B641D7" w:rsidRPr="0067008A">
        <w:rPr>
          <w:rFonts w:ascii="Times New Roman" w:hAnsi="Times New Roman" w:cs="Times New Roman"/>
        </w:rPr>
        <w:t>,</w:t>
      </w:r>
      <w:r w:rsidRPr="0067008A">
        <w:rPr>
          <w:rFonts w:ascii="Times New Roman" w:hAnsi="Times New Roman" w:cs="Times New Roman"/>
        </w:rPr>
        <w:t xml:space="preserve"> perjudica a varios países</w:t>
      </w:r>
      <w:r w:rsidR="00B641D7" w:rsidRPr="0067008A">
        <w:rPr>
          <w:rFonts w:ascii="Times New Roman" w:hAnsi="Times New Roman" w:cs="Times New Roman"/>
        </w:rPr>
        <w:t xml:space="preserve"> debido a que </w:t>
      </w:r>
      <w:r w:rsidRPr="0067008A">
        <w:rPr>
          <w:rFonts w:ascii="Times New Roman" w:hAnsi="Times New Roman" w:cs="Times New Roman"/>
        </w:rPr>
        <w:t>son</w:t>
      </w:r>
      <w:r w:rsidR="00B641D7" w:rsidRPr="0067008A">
        <w:rPr>
          <w:rFonts w:ascii="Times New Roman" w:hAnsi="Times New Roman" w:cs="Times New Roman"/>
        </w:rPr>
        <w:t xml:space="preserve"> </w:t>
      </w:r>
      <w:r w:rsidRPr="0067008A">
        <w:rPr>
          <w:rFonts w:ascii="Times New Roman" w:hAnsi="Times New Roman" w:cs="Times New Roman"/>
        </w:rPr>
        <w:t>territorios en los cuales no se paga o se paga una cantidad mínima de impuestos, con el dinero que se coloca en estos paraísos fiscales.</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El día sábado 30 de octubre de 2021 se reunió en Roma, el Grupo de los 20, y conforme el Diario Primicias que recoge la información de la Agencia EFE, se aprobó la siguiente decisión: El impuesto mínimo global, primer objetivo cumplido del G20 para evitar que las multinacionales se aprovechen de regímenes fiscales complacientes y no paguen impuestos donde operan.</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La primera jornada de la cumbre de líderes del G20 en Roma logró este sábado 30 de octubre del 2021 un primer objetivo cumplido: la adopción, tras largas negociaciones, de un impuesto mínimo global de al menos el 15% a las multinacionales para equilibrar el sistema tributario internacional y evitar que se aprovechen de regímenes fiscales complacientes y no paguen impuestos donde operan.</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Un impuesto mínimo para el mundo. El mecanismo, que se adoptará para 2030, sigue el camino ya trazado por la Organización para la Cooperación y el Desarrollo Económicos (OCDE) de un sistema sustentado en dos pilares.</w:t>
      </w:r>
      <w:r w:rsidR="00B641D7" w:rsidRPr="0067008A">
        <w:rPr>
          <w:rFonts w:ascii="Times New Roman" w:hAnsi="Times New Roman" w:cs="Times New Roman"/>
        </w:rPr>
        <w:t xml:space="preserve"> </w:t>
      </w:r>
      <w:r w:rsidRPr="0067008A">
        <w:rPr>
          <w:rFonts w:ascii="Times New Roman" w:hAnsi="Times New Roman" w:cs="Times New Roman"/>
        </w:rPr>
        <w:t>El primero fija que el volumen del beneficio residual de las empresas, es decir, el restante después de que el país donde esté la sede se haya quedado con el impuesto correspondiente al 10% de la rentabilidad, se repartirá entre los países donde operan.</w:t>
      </w:r>
      <w:r w:rsidR="00B641D7" w:rsidRPr="0067008A">
        <w:rPr>
          <w:rFonts w:ascii="Times New Roman" w:hAnsi="Times New Roman" w:cs="Times New Roman"/>
        </w:rPr>
        <w:t xml:space="preserve"> </w:t>
      </w:r>
      <w:r w:rsidRPr="0067008A">
        <w:rPr>
          <w:rFonts w:ascii="Times New Roman" w:hAnsi="Times New Roman" w:cs="Times New Roman"/>
        </w:rPr>
        <w:t>El segundo establece un tipo mínimo de sociedades del 15% para las que tengan una facturación de al menos 750 millones de euros (más de USD 866 millones, al cambio de este sábado).</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Esto se aprueba, en razón de que las multinacionales y determinadas personas naturales no tributan en sus países y con ello se busca combatir la elusión y la evasión fiscal.</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El mundo va en dirección del control de las evasiones y elusiones de impuestos mediante el uso de paraísos fiscales, pues constata el perjuicio que se irroga a los países. No se trata de una ley nacional con dedicatoria, sino de una tendencia de justicia internacional, que no puede ser desconocida por los mandatarios.</w:t>
      </w:r>
    </w:p>
    <w:p w:rsidR="006A4D59" w:rsidRPr="0067008A" w:rsidRDefault="006A4D59" w:rsidP="00677E33">
      <w:pPr>
        <w:spacing w:after="240" w:line="360" w:lineRule="auto"/>
        <w:jc w:val="both"/>
        <w:rPr>
          <w:rFonts w:ascii="Times New Roman" w:hAnsi="Times New Roman" w:cs="Times New Roman"/>
        </w:rPr>
      </w:pPr>
    </w:p>
    <w:p w:rsidR="006A4D59" w:rsidRPr="0067008A" w:rsidRDefault="006A4D59" w:rsidP="00677E33">
      <w:pPr>
        <w:spacing w:after="240" w:line="360" w:lineRule="auto"/>
        <w:jc w:val="both"/>
        <w:rPr>
          <w:rFonts w:ascii="Times New Roman" w:hAnsi="Times New Roman" w:cs="Times New Roman"/>
          <w:highlight w:val="yellow"/>
        </w:rPr>
        <w:sectPr w:rsidR="006A4D59" w:rsidRPr="0067008A">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0" w:footer="720" w:gutter="0"/>
          <w:pgNumType w:start="1"/>
          <w:cols w:space="720"/>
          <w:formProt w:val="0"/>
          <w:docGrid w:linePitch="100" w:charSpace="4096"/>
        </w:sectPr>
      </w:pPr>
    </w:p>
    <w:p w:rsidR="006A4D59" w:rsidRPr="0067008A" w:rsidRDefault="00921711" w:rsidP="00677E33">
      <w:pPr>
        <w:spacing w:after="240" w:line="360" w:lineRule="auto"/>
        <w:rPr>
          <w:rFonts w:ascii="Times New Roman" w:hAnsi="Times New Roman" w:cs="Times New Roman"/>
        </w:rPr>
      </w:pPr>
      <w:r w:rsidRPr="0067008A">
        <w:rPr>
          <w:rFonts w:ascii="Times New Roman" w:hAnsi="Times New Roman" w:cs="Times New Roman"/>
          <w:lang w:val="es-ES"/>
        </w:rPr>
        <w:t>El Consorcio Internacional de Periodistas de Investigación (ICIJ), es una organización sin fines de lucro con sede en EE. UU., con equipo de reporteros propios vinculados a una red global de organizaciones de medios que trabajan para investigar historias de importancia mundial</w:t>
      </w:r>
      <w:r w:rsidR="00B641D7" w:rsidRPr="0067008A">
        <w:rPr>
          <w:rFonts w:ascii="Times New Roman" w:hAnsi="Times New Roman" w:cs="Times New Roman"/>
          <w:lang w:val="es-ES"/>
        </w:rPr>
        <w:t xml:space="preserve">. </w:t>
      </w:r>
      <w:r w:rsidRPr="0067008A">
        <w:rPr>
          <w:rFonts w:ascii="Times New Roman" w:hAnsi="Times New Roman" w:cs="Times New Roman"/>
          <w:lang w:val="es-ES"/>
        </w:rPr>
        <w:t>Participan más de 280 de los mejores reporteros de investigación, de más de 100 países como la BBC, el New York Times, el</w:t>
      </w:r>
      <w:r w:rsidR="00764661" w:rsidRPr="0067008A">
        <w:rPr>
          <w:rFonts w:ascii="Times New Roman" w:hAnsi="Times New Roman" w:cs="Times New Roman"/>
          <w:lang w:val="es-ES"/>
        </w:rPr>
        <w:t xml:space="preserve"> </w:t>
      </w:r>
      <w:r w:rsidRPr="0067008A">
        <w:rPr>
          <w:rFonts w:ascii="Times New Roman" w:hAnsi="Times New Roman" w:cs="Times New Roman"/>
          <w:lang w:val="es-ES"/>
        </w:rPr>
        <w:t>Gardian y el Asahi Shimbun, hasta pequeños centros de investigación regionales.</w:t>
      </w:r>
    </w:p>
    <w:p w:rsidR="006A4D59" w:rsidRPr="0067008A" w:rsidRDefault="00921711" w:rsidP="00677E33">
      <w:pPr>
        <w:spacing w:after="240" w:line="360" w:lineRule="auto"/>
        <w:rPr>
          <w:rFonts w:ascii="Times New Roman" w:hAnsi="Times New Roman" w:cs="Times New Roman"/>
        </w:rPr>
      </w:pPr>
      <w:r w:rsidRPr="0067008A">
        <w:rPr>
          <w:rFonts w:ascii="Times New Roman" w:hAnsi="Times New Roman" w:cs="Times New Roman"/>
          <w:lang w:val="es-ES"/>
        </w:rPr>
        <w:t xml:space="preserve">En los últimos años, ICIJ ha publicado docenas de investigaciones, incluidos los Papeles de Panamá ganadores del Premio Pulitzer. </w:t>
      </w:r>
    </w:p>
    <w:p w:rsidR="006A4D59" w:rsidRPr="0067008A" w:rsidRDefault="00921711" w:rsidP="00677E33">
      <w:pPr>
        <w:spacing w:after="240" w:line="360" w:lineRule="auto"/>
        <w:rPr>
          <w:rFonts w:ascii="Times New Roman" w:hAnsi="Times New Roman" w:cs="Times New Roman"/>
        </w:rPr>
      </w:pPr>
      <w:r w:rsidRPr="0067008A">
        <w:rPr>
          <w:rFonts w:ascii="Times New Roman" w:hAnsi="Times New Roman" w:cs="Times New Roman"/>
          <w:lang w:val="es-ES"/>
        </w:rPr>
        <w:t>Los Papeles de Panamá fue la investigación sobre archivos de un único proveedor de servicios offshore,</w:t>
      </w:r>
      <w:r w:rsidR="00677E33" w:rsidRPr="0067008A">
        <w:rPr>
          <w:rFonts w:ascii="Times New Roman" w:hAnsi="Times New Roman" w:cs="Times New Roman"/>
          <w:lang w:val="es-ES"/>
        </w:rPr>
        <w:t xml:space="preserve"> </w:t>
      </w:r>
      <w:r w:rsidRPr="0067008A">
        <w:rPr>
          <w:rFonts w:ascii="Times New Roman" w:hAnsi="Times New Roman" w:cs="Times New Roman"/>
          <w:lang w:val="es-ES"/>
        </w:rPr>
        <w:t>el bufete de abogados panameño Mossack Fonseca. Los documentos de Pandora arrojan luz sobre una sección representativa mucho más amplia de abogados e intermediarios que están en el corazón de la industria offshore.</w:t>
      </w:r>
    </w:p>
    <w:p w:rsidR="006A4D59" w:rsidRPr="0067008A" w:rsidRDefault="00921711" w:rsidP="002E7DFE">
      <w:pPr>
        <w:spacing w:after="240" w:line="360" w:lineRule="auto"/>
        <w:jc w:val="both"/>
        <w:rPr>
          <w:rFonts w:ascii="Times New Roman" w:hAnsi="Times New Roman" w:cs="Times New Roman"/>
        </w:rPr>
      </w:pPr>
      <w:r w:rsidRPr="0067008A">
        <w:rPr>
          <w:rFonts w:ascii="Times New Roman" w:hAnsi="Times New Roman" w:cs="Times New Roman"/>
          <w:lang w:val="es-ES"/>
        </w:rPr>
        <w:t>La filtración más grande de la historia, que debela secretos financieros de 35 líderes mundiales, más de 330 políticos y funcionarios públicos en 91 países, y una lista global de fugitivos, estafadores y asesinos</w:t>
      </w:r>
      <w:r w:rsidR="002E7DFE" w:rsidRPr="0067008A">
        <w:rPr>
          <w:rFonts w:ascii="Times New Roman" w:hAnsi="Times New Roman" w:cs="Times New Roman"/>
          <w:lang w:val="es-ES"/>
        </w:rPr>
        <w:t xml:space="preserve">. </w:t>
      </w:r>
      <w:r w:rsidRPr="0067008A">
        <w:rPr>
          <w:rFonts w:ascii="Times New Roman" w:hAnsi="Times New Roman" w:cs="Times New Roman"/>
          <w:lang w:val="es-ES"/>
        </w:rPr>
        <w:t>Los hallazgos de esta investigación destacan el abuso de normas sobre el manejo de finanzas secretas de actores de la política global, y ofrecen información sobre por qué los gobiernos y las organizaciones globales han avanzado poco para poner fin a los abusos financieros extraterritoriales.</w:t>
      </w:r>
    </w:p>
    <w:p w:rsidR="006A4D59" w:rsidRPr="0067008A" w:rsidRDefault="00921711" w:rsidP="00BA4370">
      <w:pPr>
        <w:spacing w:after="240" w:line="360" w:lineRule="auto"/>
        <w:jc w:val="both"/>
        <w:rPr>
          <w:rFonts w:ascii="Times New Roman" w:hAnsi="Times New Roman" w:cs="Times New Roman"/>
        </w:rPr>
      </w:pPr>
      <w:r w:rsidRPr="0067008A">
        <w:rPr>
          <w:rFonts w:ascii="Times New Roman" w:hAnsi="Times New Roman" w:cs="Times New Roman"/>
          <w:lang w:val="es-ES"/>
        </w:rPr>
        <w:t>Los documentos de Pandora proporcionan más del doble de la información sobre la propiedad de empresas extraterritoriales. En total, la nueva filtración de documentos revela a los verdaderos propietarios de más de 29.000 empresas offshore. Los propietarios provienen de más de 200 países y territorios, con los mayores contingentes de Rusia, Reino Unido, Argentina y China.</w:t>
      </w:r>
    </w:p>
    <w:p w:rsidR="006A4D59" w:rsidRPr="0067008A" w:rsidRDefault="00921711" w:rsidP="00BA4370">
      <w:pPr>
        <w:spacing w:after="240" w:line="360" w:lineRule="auto"/>
        <w:jc w:val="both"/>
        <w:rPr>
          <w:rFonts w:ascii="Times New Roman" w:hAnsi="Times New Roman" w:cs="Times New Roman"/>
        </w:rPr>
      </w:pPr>
      <w:r w:rsidRPr="0067008A">
        <w:rPr>
          <w:rFonts w:ascii="Times New Roman" w:hAnsi="Times New Roman" w:cs="Times New Roman"/>
          <w:lang w:val="es-ES"/>
        </w:rPr>
        <w:t>El actual presidente del Ecuador, según esta investigación, estableció una lista de fideicomisos y sociedades offshore como el caso en Dakota del Sur. Los registros filtrados muestran que</w:t>
      </w:r>
      <w:r w:rsidR="00BA4370" w:rsidRPr="0067008A">
        <w:rPr>
          <w:rFonts w:ascii="Times New Roman" w:hAnsi="Times New Roman" w:cs="Times New Roman"/>
          <w:lang w:val="es-ES"/>
        </w:rPr>
        <w:t xml:space="preserve"> Guillermo</w:t>
      </w:r>
      <w:r w:rsidRPr="0067008A">
        <w:rPr>
          <w:rFonts w:ascii="Times New Roman" w:hAnsi="Times New Roman" w:cs="Times New Roman"/>
          <w:lang w:val="es-ES"/>
        </w:rPr>
        <w:t xml:space="preserve"> Lasso transfirió activos a dos fideicomisos en Dakota del Sur en diciembre de 2017, tres meses después de que el parlamento de Ecuador aprobara una ley que prohíbe a los funcionarios públicos mantener activos en paraísos fiscales. Los registros de esta investigación muestran que Guillermo Lasso trasladó dos empresas offshore a los fideicomisos de Dakota del Sur desde dos fundaciones secretas en Panamá.</w:t>
      </w:r>
    </w:p>
    <w:p w:rsidR="006A4D59" w:rsidRPr="0067008A" w:rsidRDefault="00921711" w:rsidP="00677E33">
      <w:pPr>
        <w:spacing w:after="240" w:line="360" w:lineRule="auto"/>
        <w:rPr>
          <w:rFonts w:ascii="Times New Roman" w:hAnsi="Times New Roman" w:cs="Times New Roman"/>
        </w:rPr>
      </w:pPr>
      <w:r w:rsidRPr="0067008A">
        <w:rPr>
          <w:rFonts w:ascii="Times New Roman" w:hAnsi="Times New Roman" w:cs="Times New Roman"/>
          <w:lang w:val="es-ES"/>
        </w:rPr>
        <w:t>El Presidente del Ecuador ha argumentado que las entidades extraterritoriales era</w:t>
      </w:r>
      <w:r w:rsidR="00BA4370" w:rsidRPr="0067008A">
        <w:rPr>
          <w:rFonts w:ascii="Times New Roman" w:hAnsi="Times New Roman" w:cs="Times New Roman"/>
          <w:lang w:val="es-ES"/>
        </w:rPr>
        <w:t>n</w:t>
      </w:r>
      <w:r w:rsidRPr="0067008A">
        <w:rPr>
          <w:rFonts w:ascii="Times New Roman" w:hAnsi="Times New Roman" w:cs="Times New Roman"/>
          <w:lang w:val="es-ES"/>
        </w:rPr>
        <w:t xml:space="preserve"> "legal</w:t>
      </w:r>
      <w:r w:rsidR="00BA4370" w:rsidRPr="0067008A">
        <w:rPr>
          <w:rFonts w:ascii="Times New Roman" w:hAnsi="Times New Roman" w:cs="Times New Roman"/>
          <w:lang w:val="es-ES"/>
        </w:rPr>
        <w:t>es</w:t>
      </w:r>
      <w:r w:rsidRPr="0067008A">
        <w:rPr>
          <w:rFonts w:ascii="Times New Roman" w:hAnsi="Times New Roman" w:cs="Times New Roman"/>
          <w:lang w:val="es-ES"/>
        </w:rPr>
        <w:t xml:space="preserve"> y legítim</w:t>
      </w:r>
      <w:r w:rsidR="00BA4370" w:rsidRPr="0067008A">
        <w:rPr>
          <w:rFonts w:ascii="Times New Roman" w:hAnsi="Times New Roman" w:cs="Times New Roman"/>
          <w:lang w:val="es-ES"/>
        </w:rPr>
        <w:t>as</w:t>
      </w:r>
      <w:r w:rsidRPr="0067008A">
        <w:rPr>
          <w:rFonts w:ascii="Times New Roman" w:hAnsi="Times New Roman" w:cs="Times New Roman"/>
          <w:lang w:val="es-ES"/>
        </w:rPr>
        <w:t>". Y además aseguró que cumple con la ley ecuatoriana.</w:t>
      </w:r>
    </w:p>
    <w:p w:rsidR="00A74687" w:rsidRPr="0067008A" w:rsidRDefault="00BA4370" w:rsidP="00A74687">
      <w:pPr>
        <w:spacing w:after="240" w:line="360" w:lineRule="auto"/>
        <w:jc w:val="both"/>
        <w:rPr>
          <w:rFonts w:ascii="Times New Roman" w:hAnsi="Times New Roman" w:cs="Times New Roman"/>
          <w:lang w:val="es-ES"/>
        </w:rPr>
      </w:pPr>
      <w:r w:rsidRPr="0067008A">
        <w:rPr>
          <w:rFonts w:ascii="Times New Roman" w:hAnsi="Times New Roman" w:cs="Times New Roman"/>
          <w:lang w:val="es-ES"/>
        </w:rPr>
        <w:t>Por su parte, l</w:t>
      </w:r>
      <w:r w:rsidR="00921711" w:rsidRPr="0067008A">
        <w:rPr>
          <w:rFonts w:ascii="Times New Roman" w:hAnsi="Times New Roman" w:cs="Times New Roman"/>
          <w:lang w:val="es-ES"/>
        </w:rPr>
        <w:t>os fideicomisos establecidos en Dakota del Sur y muchos otros estados de EE. UU.</w:t>
      </w:r>
      <w:r w:rsidR="005326B4" w:rsidRPr="0067008A">
        <w:rPr>
          <w:rFonts w:ascii="Times New Roman" w:hAnsi="Times New Roman" w:cs="Times New Roman"/>
          <w:lang w:val="es-ES"/>
        </w:rPr>
        <w:t>, p</w:t>
      </w:r>
      <w:r w:rsidR="00921711" w:rsidRPr="0067008A">
        <w:rPr>
          <w:rFonts w:ascii="Times New Roman" w:hAnsi="Times New Roman" w:cs="Times New Roman"/>
          <w:lang w:val="es-ES"/>
        </w:rPr>
        <w:t xml:space="preserve">ermanecen ocultos </w:t>
      </w:r>
      <w:r w:rsidR="005B7C15" w:rsidRPr="0067008A">
        <w:rPr>
          <w:rFonts w:ascii="Times New Roman" w:hAnsi="Times New Roman" w:cs="Times New Roman"/>
          <w:lang w:val="es-ES"/>
        </w:rPr>
        <w:t>y en</w:t>
      </w:r>
      <w:r w:rsidR="00921711" w:rsidRPr="0067008A">
        <w:rPr>
          <w:rFonts w:ascii="Times New Roman" w:hAnsi="Times New Roman" w:cs="Times New Roman"/>
          <w:lang w:val="es-ES"/>
        </w:rPr>
        <w:t xml:space="preserve"> secreto</w:t>
      </w:r>
      <w:r w:rsidR="00C32442" w:rsidRPr="0067008A">
        <w:rPr>
          <w:rFonts w:ascii="Times New Roman" w:hAnsi="Times New Roman" w:cs="Times New Roman"/>
          <w:lang w:val="es-ES"/>
        </w:rPr>
        <w:t xml:space="preserve"> </w:t>
      </w:r>
      <w:r w:rsidR="00921711" w:rsidRPr="0067008A">
        <w:rPr>
          <w:rFonts w:ascii="Times New Roman" w:hAnsi="Times New Roman" w:cs="Times New Roman"/>
          <w:lang w:val="es-ES"/>
        </w:rPr>
        <w:t>a pesar de la promulgación de la Ley de Transparencia Corporativa Federal</w:t>
      </w:r>
      <w:r w:rsidR="005B7C15" w:rsidRPr="0067008A">
        <w:rPr>
          <w:rFonts w:ascii="Times New Roman" w:hAnsi="Times New Roman" w:cs="Times New Roman"/>
          <w:lang w:val="es-ES"/>
        </w:rPr>
        <w:t xml:space="preserve"> </w:t>
      </w:r>
      <w:r w:rsidR="00921711" w:rsidRPr="0067008A">
        <w:rPr>
          <w:rFonts w:ascii="Times New Roman" w:hAnsi="Times New Roman" w:cs="Times New Roman"/>
          <w:lang w:val="es-ES"/>
        </w:rPr>
        <w:t xml:space="preserve">que </w:t>
      </w:r>
      <w:r w:rsidR="00C32442" w:rsidRPr="0067008A">
        <w:rPr>
          <w:rFonts w:ascii="Times New Roman" w:hAnsi="Times New Roman" w:cs="Times New Roman"/>
          <w:lang w:val="es-ES"/>
        </w:rPr>
        <w:t xml:space="preserve">de cierta forma </w:t>
      </w:r>
      <w:r w:rsidR="00921711" w:rsidRPr="0067008A">
        <w:rPr>
          <w:rFonts w:ascii="Times New Roman" w:hAnsi="Times New Roman" w:cs="Times New Roman"/>
          <w:lang w:val="es-ES"/>
        </w:rPr>
        <w:t>dificulta</w:t>
      </w:r>
      <w:r w:rsidR="00C32442" w:rsidRPr="0067008A">
        <w:rPr>
          <w:rFonts w:ascii="Times New Roman" w:hAnsi="Times New Roman" w:cs="Times New Roman"/>
          <w:lang w:val="es-ES"/>
        </w:rPr>
        <w:t>ría</w:t>
      </w:r>
      <w:r w:rsidR="00921711" w:rsidRPr="0067008A">
        <w:rPr>
          <w:rFonts w:ascii="Times New Roman" w:hAnsi="Times New Roman" w:cs="Times New Roman"/>
          <w:lang w:val="es-ES"/>
        </w:rPr>
        <w:t xml:space="preserve"> </w:t>
      </w:r>
      <w:r w:rsidR="00C32442" w:rsidRPr="0067008A">
        <w:rPr>
          <w:rFonts w:ascii="Times New Roman" w:hAnsi="Times New Roman" w:cs="Times New Roman"/>
          <w:lang w:val="es-ES"/>
        </w:rPr>
        <w:t>a</w:t>
      </w:r>
      <w:r w:rsidR="00921711" w:rsidRPr="0067008A">
        <w:rPr>
          <w:rFonts w:ascii="Times New Roman" w:hAnsi="Times New Roman" w:cs="Times New Roman"/>
          <w:lang w:val="es-ES"/>
        </w:rPr>
        <w:t xml:space="preserve"> los propietarios de ciertos tipos de empresas</w:t>
      </w:r>
      <w:r w:rsidR="00C32442" w:rsidRPr="0067008A">
        <w:rPr>
          <w:rFonts w:ascii="Times New Roman" w:hAnsi="Times New Roman" w:cs="Times New Roman"/>
          <w:lang w:val="es-ES"/>
        </w:rPr>
        <w:t>,</w:t>
      </w:r>
      <w:r w:rsidR="00921711" w:rsidRPr="0067008A">
        <w:rPr>
          <w:rFonts w:ascii="Times New Roman" w:hAnsi="Times New Roman" w:cs="Times New Roman"/>
          <w:lang w:val="es-ES"/>
        </w:rPr>
        <w:t xml:space="preserve"> ocult</w:t>
      </w:r>
      <w:r w:rsidR="00C32442" w:rsidRPr="0067008A">
        <w:rPr>
          <w:rFonts w:ascii="Times New Roman" w:hAnsi="Times New Roman" w:cs="Times New Roman"/>
          <w:lang w:val="es-ES"/>
        </w:rPr>
        <w:t>ar</w:t>
      </w:r>
      <w:r w:rsidR="00921711" w:rsidRPr="0067008A">
        <w:rPr>
          <w:rFonts w:ascii="Times New Roman" w:hAnsi="Times New Roman" w:cs="Times New Roman"/>
          <w:lang w:val="es-ES"/>
        </w:rPr>
        <w:t xml:space="preserve"> sus identidades</w:t>
      </w:r>
      <w:r w:rsidR="00D91687" w:rsidRPr="0067008A">
        <w:rPr>
          <w:rFonts w:ascii="Times New Roman" w:hAnsi="Times New Roman" w:cs="Times New Roman"/>
          <w:lang w:val="es-ES"/>
        </w:rPr>
        <w:t>.</w:t>
      </w:r>
    </w:p>
    <w:p w:rsidR="006A4D59" w:rsidRPr="0067008A" w:rsidRDefault="00921711" w:rsidP="00A74687">
      <w:pPr>
        <w:spacing w:after="240" w:line="360" w:lineRule="auto"/>
        <w:jc w:val="both"/>
        <w:rPr>
          <w:rFonts w:ascii="Times New Roman" w:hAnsi="Times New Roman" w:cs="Times New Roman"/>
        </w:rPr>
      </w:pPr>
      <w:r w:rsidRPr="0067008A">
        <w:rPr>
          <w:rFonts w:ascii="Times New Roman" w:hAnsi="Times New Roman" w:cs="Times New Roman"/>
          <w:b/>
          <w:lang w:val="es-CO"/>
        </w:rPr>
        <w:t>Imagen de Ecuador en los medios de comunicación a nivel mundial por el caso Pandora Papers.</w:t>
      </w:r>
    </w:p>
    <w:p w:rsidR="006A4D59" w:rsidRPr="0067008A" w:rsidRDefault="006A4D59" w:rsidP="00677E33">
      <w:pPr>
        <w:spacing w:after="240" w:line="360" w:lineRule="auto"/>
        <w:jc w:val="both"/>
        <w:rPr>
          <w:rFonts w:ascii="Times New Roman" w:hAnsi="Times New Roman" w:cs="Times New Roman"/>
          <w:b/>
          <w:lang w:val="es-CO"/>
        </w:rPr>
      </w:pPr>
    </w:p>
    <w:p w:rsidR="006A4D59" w:rsidRPr="0067008A" w:rsidRDefault="001A2FF9" w:rsidP="00677E33">
      <w:pPr>
        <w:spacing w:after="240" w:line="360" w:lineRule="auto"/>
        <w:jc w:val="both"/>
        <w:rPr>
          <w:rFonts w:ascii="Times New Roman" w:hAnsi="Times New Roman" w:cs="Times New Roman"/>
        </w:rPr>
      </w:pPr>
      <w:r w:rsidRPr="00CC67C2">
        <w:rPr>
          <w:rFonts w:ascii="Times New Roman" w:hAnsi="Times New Roman" w:cs="Times New Roman"/>
          <w:noProof/>
        </w:rPr>
        <w:drawing>
          <wp:inline distT="0" distB="0" distL="0" distR="0">
            <wp:extent cx="5398135" cy="3028950"/>
            <wp:effectExtent l="0" t="0" r="0" b="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8135" cy="3028950"/>
                    </a:xfrm>
                    <a:prstGeom prst="rect">
                      <a:avLst/>
                    </a:prstGeom>
                    <a:noFill/>
                    <a:ln>
                      <a:noFill/>
                    </a:ln>
                  </pic:spPr>
                </pic:pic>
              </a:graphicData>
            </a:graphic>
          </wp:inline>
        </w:drawing>
      </w:r>
    </w:p>
    <w:p w:rsidR="00A74687" w:rsidRPr="0067008A" w:rsidRDefault="00A74687" w:rsidP="00677E33">
      <w:pPr>
        <w:spacing w:after="240" w:line="360" w:lineRule="auto"/>
        <w:jc w:val="both"/>
        <w:rPr>
          <w:rFonts w:ascii="Times New Roman" w:hAnsi="Times New Roman" w:cs="Times New Roman"/>
        </w:rPr>
      </w:pPr>
    </w:p>
    <w:p w:rsidR="006A4D59" w:rsidRPr="0067008A" w:rsidRDefault="00A74687" w:rsidP="00A74687">
      <w:pPr>
        <w:pStyle w:val="Prrafodelista"/>
        <w:numPr>
          <w:ilvl w:val="0"/>
          <w:numId w:val="42"/>
        </w:numPr>
        <w:spacing w:after="240" w:line="360" w:lineRule="auto"/>
        <w:jc w:val="both"/>
      </w:pPr>
      <w:r w:rsidRPr="0067008A">
        <w:rPr>
          <w:b/>
          <w:lang w:val="es-CO"/>
        </w:rPr>
        <w:t>¿</w:t>
      </w:r>
      <w:r w:rsidR="00921711" w:rsidRPr="0067008A">
        <w:rPr>
          <w:b/>
          <w:lang w:val="es-CO"/>
        </w:rPr>
        <w:t>Qué son los Pandora Papers y cómo involucra a presidentes y políticos de América Latina</w:t>
      </w:r>
      <w:r w:rsidRPr="0067008A">
        <w:rPr>
          <w:b/>
          <w:lang w:val="es-CO"/>
        </w:rPr>
        <w:t>?</w:t>
      </w:r>
      <w:r w:rsidR="00921711" w:rsidRPr="0067008A">
        <w:rPr>
          <w:b/>
          <w:lang w:val="es-CO"/>
        </w:rPr>
        <w:t xml:space="preserve">. </w:t>
      </w:r>
    </w:p>
    <w:p w:rsidR="006A4D59" w:rsidRPr="0067008A" w:rsidRDefault="00EB6F79" w:rsidP="00677E33">
      <w:pPr>
        <w:spacing w:after="240" w:line="360" w:lineRule="auto"/>
        <w:jc w:val="both"/>
        <w:rPr>
          <w:rFonts w:ascii="Times New Roman" w:hAnsi="Times New Roman" w:cs="Times New Roman"/>
          <w:bCs/>
          <w:lang w:val="es-CO"/>
        </w:rPr>
      </w:pPr>
      <w:r w:rsidRPr="0067008A">
        <w:rPr>
          <w:rFonts w:ascii="Times New Roman" w:hAnsi="Times New Roman" w:cs="Times New Roman"/>
          <w:bCs/>
          <w:lang w:val="es-CO"/>
        </w:rPr>
        <w:t>El</w:t>
      </w:r>
      <w:r w:rsidR="00921711" w:rsidRPr="0067008A">
        <w:rPr>
          <w:rFonts w:ascii="Times New Roman" w:hAnsi="Times New Roman" w:cs="Times New Roman"/>
          <w:bCs/>
          <w:lang w:val="es-CO"/>
        </w:rPr>
        <w:t xml:space="preserve"> impacto de las revelaciones de los Pandora Papers por el Consorcio Internacional de Periodistas de Investigación ha </w:t>
      </w:r>
      <w:r w:rsidR="004B7B31" w:rsidRPr="0067008A">
        <w:rPr>
          <w:rFonts w:ascii="Times New Roman" w:hAnsi="Times New Roman" w:cs="Times New Roman"/>
          <w:bCs/>
          <w:lang w:val="es-CO"/>
        </w:rPr>
        <w:t>tenido un alto acto</w:t>
      </w:r>
      <w:r w:rsidR="00921711" w:rsidRPr="0067008A">
        <w:rPr>
          <w:rFonts w:ascii="Times New Roman" w:hAnsi="Times New Roman" w:cs="Times New Roman"/>
          <w:bCs/>
          <w:lang w:val="es-CO"/>
        </w:rPr>
        <w:t xml:space="preserve"> sobre todo por la implicación respecto a altas personalidades y gobernantes del mundo.</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El contexto </w:t>
      </w:r>
      <w:r w:rsidR="004B7B31" w:rsidRPr="0067008A">
        <w:rPr>
          <w:rFonts w:ascii="Times New Roman" w:hAnsi="Times New Roman" w:cs="Times New Roman"/>
        </w:rPr>
        <w:t xml:space="preserve">de </w:t>
      </w:r>
      <w:r w:rsidR="00F80966" w:rsidRPr="0067008A">
        <w:rPr>
          <w:rFonts w:ascii="Times New Roman" w:hAnsi="Times New Roman" w:cs="Times New Roman"/>
        </w:rPr>
        <w:t>esta investigación</w:t>
      </w:r>
      <w:r w:rsidR="004B7B31" w:rsidRPr="0067008A">
        <w:rPr>
          <w:rFonts w:ascii="Times New Roman" w:hAnsi="Times New Roman" w:cs="Times New Roman"/>
        </w:rPr>
        <w:t xml:space="preserve"> ha sido </w:t>
      </w:r>
      <w:r w:rsidRPr="0067008A">
        <w:rPr>
          <w:rFonts w:ascii="Times New Roman" w:hAnsi="Times New Roman" w:cs="Times New Roman"/>
        </w:rPr>
        <w:t>de opacidad</w:t>
      </w:r>
      <w:r w:rsidR="00D46C6A" w:rsidRPr="0067008A">
        <w:rPr>
          <w:rFonts w:ascii="Times New Roman" w:hAnsi="Times New Roman" w:cs="Times New Roman"/>
        </w:rPr>
        <w:t xml:space="preserve"> pues el Presidente de la República </w:t>
      </w:r>
      <w:r w:rsidRPr="0067008A">
        <w:rPr>
          <w:rFonts w:ascii="Times New Roman" w:hAnsi="Times New Roman" w:cs="Times New Roman"/>
        </w:rPr>
        <w:t>Guillermo Lasso Mendoza que no compareció a la Asamblea</w:t>
      </w:r>
      <w:r w:rsidR="00F80966" w:rsidRPr="0067008A">
        <w:rPr>
          <w:rFonts w:ascii="Times New Roman" w:hAnsi="Times New Roman" w:cs="Times New Roman"/>
        </w:rPr>
        <w:t xml:space="preserve"> por dos ocasiones pese a </w:t>
      </w:r>
      <w:r w:rsidRPr="0067008A">
        <w:rPr>
          <w:rFonts w:ascii="Times New Roman" w:hAnsi="Times New Roman" w:cs="Times New Roman"/>
        </w:rPr>
        <w:t xml:space="preserve">haber declarado públicamente que iba a asistir </w:t>
      </w:r>
      <w:r w:rsidR="00F80966" w:rsidRPr="0067008A">
        <w:rPr>
          <w:rFonts w:ascii="Times New Roman" w:hAnsi="Times New Roman" w:cs="Times New Roman"/>
        </w:rPr>
        <w:t>ante</w:t>
      </w:r>
      <w:r w:rsidRPr="0067008A">
        <w:rPr>
          <w:rFonts w:ascii="Times New Roman" w:hAnsi="Times New Roman" w:cs="Times New Roman"/>
        </w:rPr>
        <w:t xml:space="preserve"> Asamblea</w:t>
      </w:r>
      <w:r w:rsidR="00F80966" w:rsidRPr="0067008A">
        <w:rPr>
          <w:rFonts w:ascii="Times New Roman" w:hAnsi="Times New Roman" w:cs="Times New Roman"/>
        </w:rPr>
        <w:t xml:space="preserve"> Nacional. Asimismo, los </w:t>
      </w:r>
      <w:r w:rsidRPr="0067008A">
        <w:rPr>
          <w:rFonts w:ascii="Times New Roman" w:hAnsi="Times New Roman" w:cs="Times New Roman"/>
        </w:rPr>
        <w:t>funcionarios públicos</w:t>
      </w:r>
      <w:r w:rsidR="00F80966" w:rsidRPr="0067008A">
        <w:rPr>
          <w:rFonts w:ascii="Times New Roman" w:hAnsi="Times New Roman" w:cs="Times New Roman"/>
        </w:rPr>
        <w:t xml:space="preserve"> convocados</w:t>
      </w:r>
      <w:r w:rsidRPr="0067008A">
        <w:rPr>
          <w:rFonts w:ascii="Times New Roman" w:hAnsi="Times New Roman" w:cs="Times New Roman"/>
        </w:rPr>
        <w:t xml:space="preserve"> prefirieron delegar o se ausentaron de las convocatorias. También fue notoria la no asistencia en comisión general de la </w:t>
      </w:r>
      <w:r w:rsidR="00F80966" w:rsidRPr="0067008A">
        <w:rPr>
          <w:rFonts w:ascii="Times New Roman" w:hAnsi="Times New Roman" w:cs="Times New Roman"/>
        </w:rPr>
        <w:t>conyuge</w:t>
      </w:r>
      <w:r w:rsidRPr="0067008A">
        <w:rPr>
          <w:rFonts w:ascii="Times New Roman" w:hAnsi="Times New Roman" w:cs="Times New Roman"/>
        </w:rPr>
        <w:t xml:space="preserve"> y uno de los hijos de Guillermo Lasso. Las autoridades del Servicio de Rentas Internas, Superintendencia de Bancos, Banco Central, Unidad de Análisis Financiero y Económico, Superintendencia de Compañías, Fiscalía General del Estado y otras, argumentaron sistemáticamente sigilo, reserva</w:t>
      </w:r>
      <w:r w:rsidR="00F80966" w:rsidRPr="0067008A">
        <w:rPr>
          <w:rFonts w:ascii="Times New Roman" w:hAnsi="Times New Roman" w:cs="Times New Roman"/>
        </w:rPr>
        <w:t xml:space="preserve"> y</w:t>
      </w:r>
      <w:r w:rsidRPr="0067008A">
        <w:rPr>
          <w:rFonts w:ascii="Times New Roman" w:hAnsi="Times New Roman" w:cs="Times New Roman"/>
        </w:rPr>
        <w:t xml:space="preserve"> confidencialidad de la información, a pesar de que Guillermo Lasso había declarado públicamente y ratificado públicamente la renuncia al sigilo de sus cuentas. Una excepción valiosa fue la Contraloría General del Estado, que sí entregó la información, trasladando la responsabilidad de reserva a los miembros de la Comisión que realiza la investigación, como procede</w:t>
      </w:r>
      <w:r w:rsidR="005363C4" w:rsidRPr="0067008A">
        <w:rPr>
          <w:rFonts w:ascii="Times New Roman" w:hAnsi="Times New Roman" w:cs="Times New Roman"/>
        </w:rPr>
        <w:t xml:space="preserve"> de conformidad con la Ley Orgánica de la Función Legislativa</w:t>
      </w:r>
      <w:r w:rsidRPr="0067008A">
        <w:rPr>
          <w:rFonts w:ascii="Times New Roman" w:hAnsi="Times New Roman" w:cs="Times New Roman"/>
        </w:rPr>
        <w:t>.</w:t>
      </w:r>
    </w:p>
    <w:p w:rsidR="006A4D59" w:rsidRPr="0067008A" w:rsidRDefault="006A4D59" w:rsidP="00677E33">
      <w:pPr>
        <w:spacing w:after="240" w:line="360" w:lineRule="auto"/>
        <w:jc w:val="both"/>
        <w:rPr>
          <w:rFonts w:ascii="Times New Roman" w:hAnsi="Times New Roman" w:cs="Times New Roman"/>
          <w:b/>
        </w:rPr>
      </w:pPr>
    </w:p>
    <w:p w:rsidR="006A4D59" w:rsidRPr="0067008A" w:rsidRDefault="00A24D88" w:rsidP="00A24D88">
      <w:pPr>
        <w:pStyle w:val="Prrafodelista"/>
        <w:numPr>
          <w:ilvl w:val="0"/>
          <w:numId w:val="42"/>
        </w:numPr>
        <w:spacing w:after="240" w:line="360" w:lineRule="auto"/>
        <w:jc w:val="both"/>
      </w:pPr>
      <w:r w:rsidRPr="0067008A">
        <w:rPr>
          <w:b/>
        </w:rPr>
        <w:t xml:space="preserve">RECOLECCIÓN DE DATOS E INFORMACIÓN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En el marco del objetivo general de la investigación, se procedió a la recolección de la información bajo el sistema de búsqueda, revisión y selección de los documentos y datos que serán sistematizados y analizados. De esta forma, fueron revisados exhaustivamente las publicaciones realizadas por el Consorcio Internacional de Periodistas de Investigación (ICIJ) relacionados al caso “Pandora Papers” para identificar los elementos de la denuncia que deben ser verificados.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Considerando que el soporte de los resultados de la presente investigación asumida por delegación del Pleno de la Asamblea debe estar constituido por documentos que contengan el debido respaldo legal que provenga de instancias e instituciones oficiales de carácter nacional e internacional, se adoptó el mecanismo de la comparecencia pública de autoridades de las instituciones nacionales relacionadas al caso en estudio, de expertos académicos y personas con información sobre la materia de la investigación. No obstante, se remitieron comunicaciones oficiales a las Instituciones pertinentes solicitándoles que nos provean de la documentación y datos necesarios que coadyuven al proceso de investigación.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El esfuerzo realizado durante el proceso de recopilación de información, obtuvo buenos resultados, que son los que amparan la elaboración del presente informe. Aunque también se debe señalar que lamentablemente surgieron incomprensiones del propósito de esta tarea, y con ello la negativa de algunas autoridades para la entrega de información que debió facilitarse como una muestra de transparencia en la intención de esclarecer las denuncias efectuadas en el ámbito internacional por la ICIJ. A continuación se expone detalladamente los resultados del proceso de recolección de información:</w:t>
      </w:r>
      <w:r w:rsidR="00677E33" w:rsidRPr="0067008A">
        <w:rPr>
          <w:rFonts w:ascii="Times New Roman" w:hAnsi="Times New Roman" w:cs="Times New Roman"/>
        </w:rPr>
        <w:t xml:space="preserve"> </w:t>
      </w:r>
    </w:p>
    <w:p w:rsidR="006A4D59" w:rsidRPr="0067008A" w:rsidRDefault="00921711" w:rsidP="00A24D88">
      <w:pPr>
        <w:pStyle w:val="Prrafodelista"/>
        <w:numPr>
          <w:ilvl w:val="0"/>
          <w:numId w:val="39"/>
        </w:numPr>
        <w:spacing w:after="240" w:line="360" w:lineRule="auto"/>
        <w:jc w:val="both"/>
      </w:pPr>
      <w:r w:rsidRPr="0067008A">
        <w:rPr>
          <w:b/>
        </w:rPr>
        <w:t>Información del Consorcio Internacional de Periodistas de Investigación, ICIJ (International Consortium of Investigative Journalist)</w:t>
      </w:r>
    </w:p>
    <w:p w:rsidR="006A4D59" w:rsidRPr="0067008A" w:rsidRDefault="009043DF" w:rsidP="00677E33">
      <w:pPr>
        <w:spacing w:after="240" w:line="360" w:lineRule="auto"/>
        <w:jc w:val="both"/>
        <w:rPr>
          <w:rFonts w:ascii="Times New Roman" w:hAnsi="Times New Roman" w:cs="Times New Roman"/>
        </w:rPr>
      </w:pPr>
      <w:r w:rsidRPr="0067008A">
        <w:rPr>
          <w:rFonts w:ascii="Times New Roman" w:hAnsi="Times New Roman" w:cs="Times New Roman"/>
        </w:rPr>
        <w:t>La</w:t>
      </w:r>
      <w:r w:rsidR="00921711" w:rsidRPr="0067008A">
        <w:rPr>
          <w:rFonts w:ascii="Times New Roman" w:hAnsi="Times New Roman" w:cs="Times New Roman"/>
        </w:rPr>
        <w:t xml:space="preserve"> historia actual se inicia con la información de ICIJ. De acuerdo con su página web, el ICIJ es categorizado como una organización sin fines de lucro con sede en los EE. UU. Está integrada por un equipo de 35 personas, y a este grupo se suman reporteros y organizaciones de medios de otros países.</w:t>
      </w:r>
      <w:r w:rsidR="00677E33" w:rsidRPr="0067008A">
        <w:rPr>
          <w:rFonts w:ascii="Times New Roman" w:hAnsi="Times New Roman" w:cs="Times New Roman"/>
        </w:rPr>
        <w:t xml:space="preserve">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El ICIJ filtró más de 11,9 millones de archivos confidenciales, trabajó con más de 600 periodistas de 150 medios de comunicación que pasaron dos años examinando la información, y rastreando fuentes difíciles de encontrar y registros judiciales.</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Del análisis de los documentos secretos, se identificaron 956 empresas en paraísos fiscales vinculadas a 336 políticos y funcionarios públicos de alto nivel, incluidos Presidente, ex Presidentes, Primeros Ministros, ministros de gabinete, embajadores y otros.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Revisando los datos de nuestra región Latinoamérica, la investigación de “Pandora Papers” reveló que existen quince políticos en la lista, de los cuales once son ex Presidentes, y tres actualmente ejercen la presidencia, de Chile, República Dominicana y Ecuador. (Detalle en el cuadro Nro. 2.)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Tabla: Autoridades latinoamericanas involucradas en la investigación de “Pandora Papers”.</w:t>
      </w:r>
    </w:p>
    <w:tbl>
      <w:tblPr>
        <w:tblW w:w="9025" w:type="dxa"/>
        <w:tblBorders>
          <w:bottom w:val="single" w:sz="12" w:space="0" w:color="FFFFFF"/>
          <w:insideH w:val="single" w:sz="12" w:space="0" w:color="FFFFFF"/>
        </w:tblBorders>
        <w:tblCellMar>
          <w:top w:w="100" w:type="dxa"/>
          <w:left w:w="100" w:type="dxa"/>
          <w:bottom w:w="100" w:type="dxa"/>
          <w:right w:w="100" w:type="dxa"/>
        </w:tblCellMar>
        <w:tblLook w:val="0600" w:firstRow="0" w:lastRow="0" w:firstColumn="0" w:lastColumn="0" w:noHBand="1" w:noVBand="1"/>
      </w:tblPr>
      <w:tblGrid>
        <w:gridCol w:w="2860"/>
        <w:gridCol w:w="2963"/>
        <w:gridCol w:w="3202"/>
      </w:tblGrid>
      <w:tr w:rsidR="006A4D59" w:rsidRPr="0067008A">
        <w:trPr>
          <w:trHeight w:val="635"/>
        </w:trPr>
        <w:tc>
          <w:tcPr>
            <w:tcW w:w="2860" w:type="dxa"/>
            <w:tcBorders>
              <w:bottom w:val="single" w:sz="12" w:space="0" w:color="FFFFFF"/>
            </w:tcBorders>
            <w:shd w:val="clear" w:color="auto" w:fill="D25F12"/>
          </w:tcPr>
          <w:p w:rsidR="006A4D59" w:rsidRPr="0067008A" w:rsidRDefault="00921711" w:rsidP="00677E33">
            <w:pPr>
              <w:spacing w:after="240" w:line="360" w:lineRule="auto"/>
              <w:jc w:val="center"/>
              <w:rPr>
                <w:rFonts w:ascii="Times New Roman" w:hAnsi="Times New Roman" w:cs="Times New Roman"/>
                <w:b/>
                <w:color w:val="FFFFFF"/>
              </w:rPr>
            </w:pPr>
            <w:r w:rsidRPr="0067008A">
              <w:rPr>
                <w:rFonts w:ascii="Times New Roman" w:hAnsi="Times New Roman" w:cs="Times New Roman"/>
                <w:b/>
                <w:color w:val="FFFFFF"/>
              </w:rPr>
              <w:t>País</w:t>
            </w:r>
          </w:p>
        </w:tc>
        <w:tc>
          <w:tcPr>
            <w:tcW w:w="2963" w:type="dxa"/>
            <w:tcBorders>
              <w:bottom w:val="single" w:sz="12" w:space="0" w:color="FFFFFF"/>
            </w:tcBorders>
            <w:shd w:val="clear" w:color="auto" w:fill="D25F12"/>
          </w:tcPr>
          <w:p w:rsidR="006A4D59" w:rsidRPr="0067008A" w:rsidRDefault="00921711" w:rsidP="00677E33">
            <w:pPr>
              <w:spacing w:after="240" w:line="360" w:lineRule="auto"/>
              <w:jc w:val="center"/>
              <w:rPr>
                <w:rFonts w:ascii="Times New Roman" w:hAnsi="Times New Roman" w:cs="Times New Roman"/>
                <w:b/>
                <w:color w:val="FFFFFF"/>
              </w:rPr>
            </w:pPr>
            <w:r w:rsidRPr="0067008A">
              <w:rPr>
                <w:rFonts w:ascii="Times New Roman" w:hAnsi="Times New Roman" w:cs="Times New Roman"/>
                <w:b/>
                <w:color w:val="FFFFFF"/>
              </w:rPr>
              <w:t>Nombre y apellido</w:t>
            </w:r>
          </w:p>
        </w:tc>
        <w:tc>
          <w:tcPr>
            <w:tcW w:w="3202" w:type="dxa"/>
            <w:tcBorders>
              <w:bottom w:val="single" w:sz="12" w:space="0" w:color="FFFFFF"/>
            </w:tcBorders>
            <w:shd w:val="clear" w:color="auto" w:fill="D25F12"/>
          </w:tcPr>
          <w:p w:rsidR="006A4D59" w:rsidRPr="0067008A" w:rsidRDefault="00921711" w:rsidP="00677E33">
            <w:pPr>
              <w:spacing w:after="240" w:line="360" w:lineRule="auto"/>
              <w:jc w:val="center"/>
              <w:rPr>
                <w:rFonts w:ascii="Times New Roman" w:hAnsi="Times New Roman" w:cs="Times New Roman"/>
                <w:b/>
                <w:color w:val="FFFFFF"/>
              </w:rPr>
            </w:pPr>
            <w:r w:rsidRPr="0067008A">
              <w:rPr>
                <w:rFonts w:ascii="Times New Roman" w:hAnsi="Times New Roman" w:cs="Times New Roman"/>
                <w:b/>
                <w:color w:val="FFFFFF"/>
              </w:rPr>
              <w:t>Cargo</w:t>
            </w:r>
          </w:p>
        </w:tc>
      </w:tr>
      <w:tr w:rsidR="006A4D59" w:rsidRPr="0067008A">
        <w:trPr>
          <w:trHeight w:val="635"/>
        </w:trPr>
        <w:tc>
          <w:tcPr>
            <w:tcW w:w="2860" w:type="dxa"/>
            <w:shd w:val="clear" w:color="auto" w:fill="DEEAF6"/>
          </w:tcPr>
          <w:p w:rsidR="006A4D59" w:rsidRPr="0067008A" w:rsidRDefault="00921711" w:rsidP="00677E33">
            <w:pPr>
              <w:spacing w:after="240" w:line="360" w:lineRule="auto"/>
              <w:jc w:val="center"/>
              <w:rPr>
                <w:rFonts w:ascii="Times New Roman" w:hAnsi="Times New Roman" w:cs="Times New Roman"/>
                <w:b/>
              </w:rPr>
            </w:pPr>
            <w:r w:rsidRPr="0067008A">
              <w:rPr>
                <w:rFonts w:ascii="Times New Roman" w:hAnsi="Times New Roman" w:cs="Times New Roman"/>
                <w:b/>
              </w:rPr>
              <w:t>Chile</w:t>
            </w:r>
          </w:p>
        </w:tc>
        <w:tc>
          <w:tcPr>
            <w:tcW w:w="2963" w:type="dxa"/>
            <w:shd w:val="clear" w:color="auto" w:fill="DEEAF6"/>
          </w:tcPr>
          <w:p w:rsidR="006A4D59" w:rsidRPr="0067008A" w:rsidRDefault="00921711" w:rsidP="00677E33">
            <w:pPr>
              <w:spacing w:after="240" w:line="360" w:lineRule="auto"/>
              <w:jc w:val="center"/>
              <w:rPr>
                <w:rFonts w:ascii="Times New Roman" w:hAnsi="Times New Roman" w:cs="Times New Roman"/>
              </w:rPr>
            </w:pPr>
            <w:r w:rsidRPr="0067008A">
              <w:rPr>
                <w:rFonts w:ascii="Times New Roman" w:hAnsi="Times New Roman" w:cs="Times New Roman"/>
              </w:rPr>
              <w:t>Sebastián Piñera</w:t>
            </w:r>
          </w:p>
        </w:tc>
        <w:tc>
          <w:tcPr>
            <w:tcW w:w="3202" w:type="dxa"/>
            <w:shd w:val="clear" w:color="auto" w:fill="DEEAF6"/>
          </w:tcPr>
          <w:p w:rsidR="006A4D59" w:rsidRPr="0067008A" w:rsidRDefault="00921711" w:rsidP="00677E33">
            <w:pPr>
              <w:spacing w:after="240" w:line="360" w:lineRule="auto"/>
              <w:jc w:val="center"/>
              <w:rPr>
                <w:rFonts w:ascii="Times New Roman" w:hAnsi="Times New Roman" w:cs="Times New Roman"/>
              </w:rPr>
            </w:pPr>
            <w:r w:rsidRPr="0067008A">
              <w:rPr>
                <w:rFonts w:ascii="Times New Roman" w:hAnsi="Times New Roman" w:cs="Times New Roman"/>
              </w:rPr>
              <w:t>Presidente</w:t>
            </w:r>
          </w:p>
        </w:tc>
      </w:tr>
      <w:tr w:rsidR="006A4D59" w:rsidRPr="0067008A">
        <w:trPr>
          <w:trHeight w:val="620"/>
        </w:trPr>
        <w:tc>
          <w:tcPr>
            <w:tcW w:w="2860" w:type="dxa"/>
            <w:vMerge w:val="restart"/>
            <w:shd w:val="clear" w:color="auto" w:fill="EEF5FB"/>
          </w:tcPr>
          <w:p w:rsidR="006A4D59" w:rsidRPr="0067008A" w:rsidRDefault="00921711" w:rsidP="00677E33">
            <w:pPr>
              <w:spacing w:after="240" w:line="360" w:lineRule="auto"/>
              <w:jc w:val="center"/>
              <w:rPr>
                <w:rFonts w:ascii="Times New Roman" w:hAnsi="Times New Roman" w:cs="Times New Roman"/>
                <w:b/>
              </w:rPr>
            </w:pPr>
            <w:r w:rsidRPr="0067008A">
              <w:rPr>
                <w:rFonts w:ascii="Times New Roman" w:hAnsi="Times New Roman" w:cs="Times New Roman"/>
                <w:b/>
              </w:rPr>
              <w:t>Colombia</w:t>
            </w:r>
          </w:p>
        </w:tc>
        <w:tc>
          <w:tcPr>
            <w:tcW w:w="2963" w:type="dxa"/>
            <w:shd w:val="clear" w:color="auto" w:fill="EEF5FB"/>
          </w:tcPr>
          <w:p w:rsidR="006A4D59" w:rsidRPr="0067008A" w:rsidRDefault="00921711" w:rsidP="00677E33">
            <w:pPr>
              <w:spacing w:after="240" w:line="360" w:lineRule="auto"/>
              <w:jc w:val="center"/>
              <w:rPr>
                <w:rFonts w:ascii="Times New Roman" w:hAnsi="Times New Roman" w:cs="Times New Roman"/>
              </w:rPr>
            </w:pPr>
            <w:r w:rsidRPr="0067008A">
              <w:rPr>
                <w:rFonts w:ascii="Times New Roman" w:hAnsi="Times New Roman" w:cs="Times New Roman"/>
              </w:rPr>
              <w:t>César Gaviria</w:t>
            </w:r>
          </w:p>
        </w:tc>
        <w:tc>
          <w:tcPr>
            <w:tcW w:w="3202" w:type="dxa"/>
            <w:shd w:val="clear" w:color="auto" w:fill="EEF5FB"/>
          </w:tcPr>
          <w:p w:rsidR="006A4D59" w:rsidRPr="0067008A" w:rsidRDefault="00921711" w:rsidP="00677E33">
            <w:pPr>
              <w:spacing w:after="240" w:line="360" w:lineRule="auto"/>
              <w:jc w:val="center"/>
              <w:rPr>
                <w:rFonts w:ascii="Times New Roman" w:hAnsi="Times New Roman" w:cs="Times New Roman"/>
              </w:rPr>
            </w:pPr>
            <w:r w:rsidRPr="0067008A">
              <w:rPr>
                <w:rFonts w:ascii="Times New Roman" w:hAnsi="Times New Roman" w:cs="Times New Roman"/>
              </w:rPr>
              <w:t>Ex presidente</w:t>
            </w:r>
          </w:p>
        </w:tc>
      </w:tr>
      <w:tr w:rsidR="006A4D59" w:rsidRPr="0067008A">
        <w:trPr>
          <w:trHeight w:val="620"/>
        </w:trPr>
        <w:tc>
          <w:tcPr>
            <w:tcW w:w="2860" w:type="dxa"/>
            <w:vMerge/>
            <w:shd w:val="clear" w:color="auto" w:fill="auto"/>
          </w:tcPr>
          <w:p w:rsidR="006A4D59" w:rsidRPr="0067008A" w:rsidRDefault="006A4D59" w:rsidP="00677E33">
            <w:pPr>
              <w:spacing w:after="240" w:line="360" w:lineRule="auto"/>
              <w:jc w:val="both"/>
              <w:rPr>
                <w:rFonts w:ascii="Times New Roman" w:hAnsi="Times New Roman" w:cs="Times New Roman"/>
              </w:rPr>
            </w:pPr>
          </w:p>
        </w:tc>
        <w:tc>
          <w:tcPr>
            <w:tcW w:w="2963" w:type="dxa"/>
            <w:shd w:val="clear" w:color="auto" w:fill="DEEAF6"/>
          </w:tcPr>
          <w:p w:rsidR="006A4D59" w:rsidRPr="0067008A" w:rsidRDefault="00921711" w:rsidP="00677E33">
            <w:pPr>
              <w:spacing w:after="240" w:line="360" w:lineRule="auto"/>
              <w:jc w:val="center"/>
              <w:rPr>
                <w:rFonts w:ascii="Times New Roman" w:hAnsi="Times New Roman" w:cs="Times New Roman"/>
              </w:rPr>
            </w:pPr>
            <w:r w:rsidRPr="0067008A">
              <w:rPr>
                <w:rFonts w:ascii="Times New Roman" w:hAnsi="Times New Roman" w:cs="Times New Roman"/>
              </w:rPr>
              <w:t>Andrés Pastrana</w:t>
            </w:r>
          </w:p>
        </w:tc>
        <w:tc>
          <w:tcPr>
            <w:tcW w:w="3202" w:type="dxa"/>
            <w:shd w:val="clear" w:color="auto" w:fill="DEEAF6"/>
          </w:tcPr>
          <w:p w:rsidR="006A4D59" w:rsidRPr="0067008A" w:rsidRDefault="00921711" w:rsidP="00677E33">
            <w:pPr>
              <w:spacing w:after="240" w:line="360" w:lineRule="auto"/>
              <w:jc w:val="center"/>
              <w:rPr>
                <w:rFonts w:ascii="Times New Roman" w:hAnsi="Times New Roman" w:cs="Times New Roman"/>
              </w:rPr>
            </w:pPr>
            <w:r w:rsidRPr="0067008A">
              <w:rPr>
                <w:rFonts w:ascii="Times New Roman" w:hAnsi="Times New Roman" w:cs="Times New Roman"/>
              </w:rPr>
              <w:t>Ex presidente</w:t>
            </w:r>
          </w:p>
        </w:tc>
      </w:tr>
      <w:tr w:rsidR="006A4D59" w:rsidRPr="0067008A">
        <w:trPr>
          <w:trHeight w:val="620"/>
        </w:trPr>
        <w:tc>
          <w:tcPr>
            <w:tcW w:w="2860" w:type="dxa"/>
            <w:shd w:val="clear" w:color="auto" w:fill="EEF5FB"/>
          </w:tcPr>
          <w:p w:rsidR="006A4D59" w:rsidRPr="0067008A" w:rsidRDefault="00921711" w:rsidP="00677E33">
            <w:pPr>
              <w:spacing w:after="240" w:line="360" w:lineRule="auto"/>
              <w:jc w:val="center"/>
              <w:rPr>
                <w:rFonts w:ascii="Times New Roman" w:hAnsi="Times New Roman" w:cs="Times New Roman"/>
                <w:b/>
              </w:rPr>
            </w:pPr>
            <w:r w:rsidRPr="0067008A">
              <w:rPr>
                <w:rFonts w:ascii="Times New Roman" w:hAnsi="Times New Roman" w:cs="Times New Roman"/>
                <w:b/>
              </w:rPr>
              <w:t>Honduras</w:t>
            </w:r>
          </w:p>
        </w:tc>
        <w:tc>
          <w:tcPr>
            <w:tcW w:w="2963" w:type="dxa"/>
            <w:shd w:val="clear" w:color="auto" w:fill="EEF5FB"/>
          </w:tcPr>
          <w:p w:rsidR="006A4D59" w:rsidRPr="0067008A" w:rsidRDefault="00921711" w:rsidP="00677E33">
            <w:pPr>
              <w:spacing w:after="240" w:line="360" w:lineRule="auto"/>
              <w:jc w:val="center"/>
              <w:rPr>
                <w:rFonts w:ascii="Times New Roman" w:hAnsi="Times New Roman" w:cs="Times New Roman"/>
              </w:rPr>
            </w:pPr>
            <w:r w:rsidRPr="0067008A">
              <w:rPr>
                <w:rFonts w:ascii="Times New Roman" w:hAnsi="Times New Roman" w:cs="Times New Roman"/>
              </w:rPr>
              <w:t>Porfilio Lobo</w:t>
            </w:r>
          </w:p>
        </w:tc>
        <w:tc>
          <w:tcPr>
            <w:tcW w:w="3202" w:type="dxa"/>
            <w:shd w:val="clear" w:color="auto" w:fill="EEF5FB"/>
          </w:tcPr>
          <w:p w:rsidR="006A4D59" w:rsidRPr="0067008A" w:rsidRDefault="00921711" w:rsidP="00677E33">
            <w:pPr>
              <w:spacing w:after="240" w:line="360" w:lineRule="auto"/>
              <w:jc w:val="center"/>
              <w:rPr>
                <w:rFonts w:ascii="Times New Roman" w:hAnsi="Times New Roman" w:cs="Times New Roman"/>
              </w:rPr>
            </w:pPr>
            <w:r w:rsidRPr="0067008A">
              <w:rPr>
                <w:rFonts w:ascii="Times New Roman" w:hAnsi="Times New Roman" w:cs="Times New Roman"/>
              </w:rPr>
              <w:t>Ex presidente</w:t>
            </w:r>
          </w:p>
        </w:tc>
      </w:tr>
      <w:tr w:rsidR="006A4D59" w:rsidRPr="0067008A">
        <w:trPr>
          <w:trHeight w:val="620"/>
        </w:trPr>
        <w:tc>
          <w:tcPr>
            <w:tcW w:w="2860" w:type="dxa"/>
            <w:vMerge w:val="restart"/>
            <w:shd w:val="clear" w:color="auto" w:fill="DEEAF6"/>
          </w:tcPr>
          <w:p w:rsidR="006A4D59" w:rsidRPr="0067008A" w:rsidRDefault="00921711" w:rsidP="00677E33">
            <w:pPr>
              <w:spacing w:after="240" w:line="360" w:lineRule="auto"/>
              <w:jc w:val="center"/>
              <w:rPr>
                <w:rFonts w:ascii="Times New Roman" w:hAnsi="Times New Roman" w:cs="Times New Roman"/>
                <w:b/>
              </w:rPr>
            </w:pPr>
            <w:r w:rsidRPr="0067008A">
              <w:rPr>
                <w:rFonts w:ascii="Times New Roman" w:hAnsi="Times New Roman" w:cs="Times New Roman"/>
                <w:b/>
              </w:rPr>
              <w:t>El Salvador</w:t>
            </w:r>
          </w:p>
        </w:tc>
        <w:tc>
          <w:tcPr>
            <w:tcW w:w="2963" w:type="dxa"/>
            <w:shd w:val="clear" w:color="auto" w:fill="DEEAF6"/>
          </w:tcPr>
          <w:p w:rsidR="006A4D59" w:rsidRPr="0067008A" w:rsidRDefault="00921711" w:rsidP="00677E33">
            <w:pPr>
              <w:spacing w:after="240" w:line="360" w:lineRule="auto"/>
              <w:jc w:val="center"/>
              <w:rPr>
                <w:rFonts w:ascii="Times New Roman" w:hAnsi="Times New Roman" w:cs="Times New Roman"/>
              </w:rPr>
            </w:pPr>
            <w:r w:rsidRPr="0067008A">
              <w:rPr>
                <w:rFonts w:ascii="Times New Roman" w:hAnsi="Times New Roman" w:cs="Times New Roman"/>
              </w:rPr>
              <w:t>Alfredo Cristiani</w:t>
            </w:r>
          </w:p>
        </w:tc>
        <w:tc>
          <w:tcPr>
            <w:tcW w:w="3202" w:type="dxa"/>
            <w:shd w:val="clear" w:color="auto" w:fill="DEEAF6"/>
          </w:tcPr>
          <w:p w:rsidR="006A4D59" w:rsidRPr="0067008A" w:rsidRDefault="00921711" w:rsidP="00677E33">
            <w:pPr>
              <w:spacing w:after="240" w:line="360" w:lineRule="auto"/>
              <w:jc w:val="center"/>
              <w:rPr>
                <w:rFonts w:ascii="Times New Roman" w:hAnsi="Times New Roman" w:cs="Times New Roman"/>
              </w:rPr>
            </w:pPr>
            <w:r w:rsidRPr="0067008A">
              <w:rPr>
                <w:rFonts w:ascii="Times New Roman" w:hAnsi="Times New Roman" w:cs="Times New Roman"/>
              </w:rPr>
              <w:t>Ex presidente</w:t>
            </w:r>
          </w:p>
        </w:tc>
      </w:tr>
      <w:tr w:rsidR="006A4D59" w:rsidRPr="0067008A">
        <w:trPr>
          <w:trHeight w:val="620"/>
        </w:trPr>
        <w:tc>
          <w:tcPr>
            <w:tcW w:w="2860" w:type="dxa"/>
            <w:vMerge/>
            <w:shd w:val="clear" w:color="auto" w:fill="auto"/>
          </w:tcPr>
          <w:p w:rsidR="006A4D59" w:rsidRPr="0067008A" w:rsidRDefault="006A4D59" w:rsidP="00677E33">
            <w:pPr>
              <w:spacing w:after="240" w:line="360" w:lineRule="auto"/>
              <w:jc w:val="both"/>
              <w:rPr>
                <w:rFonts w:ascii="Times New Roman" w:hAnsi="Times New Roman" w:cs="Times New Roman"/>
              </w:rPr>
            </w:pPr>
          </w:p>
        </w:tc>
        <w:tc>
          <w:tcPr>
            <w:tcW w:w="2963" w:type="dxa"/>
            <w:shd w:val="clear" w:color="auto" w:fill="EEF5FB"/>
          </w:tcPr>
          <w:p w:rsidR="006A4D59" w:rsidRPr="0067008A" w:rsidRDefault="00921711" w:rsidP="00677E33">
            <w:pPr>
              <w:spacing w:after="240" w:line="360" w:lineRule="auto"/>
              <w:jc w:val="center"/>
              <w:rPr>
                <w:rFonts w:ascii="Times New Roman" w:hAnsi="Times New Roman" w:cs="Times New Roman"/>
              </w:rPr>
            </w:pPr>
            <w:r w:rsidRPr="0067008A">
              <w:rPr>
                <w:rFonts w:ascii="Times New Roman" w:hAnsi="Times New Roman" w:cs="Times New Roman"/>
              </w:rPr>
              <w:t>Francisco Flores</w:t>
            </w:r>
          </w:p>
        </w:tc>
        <w:tc>
          <w:tcPr>
            <w:tcW w:w="3202" w:type="dxa"/>
            <w:shd w:val="clear" w:color="auto" w:fill="EEF5FB"/>
          </w:tcPr>
          <w:p w:rsidR="006A4D59" w:rsidRPr="0067008A" w:rsidRDefault="00921711" w:rsidP="00677E33">
            <w:pPr>
              <w:spacing w:after="240" w:line="360" w:lineRule="auto"/>
              <w:jc w:val="center"/>
              <w:rPr>
                <w:rFonts w:ascii="Times New Roman" w:hAnsi="Times New Roman" w:cs="Times New Roman"/>
              </w:rPr>
            </w:pPr>
            <w:r w:rsidRPr="0067008A">
              <w:rPr>
                <w:rFonts w:ascii="Times New Roman" w:hAnsi="Times New Roman" w:cs="Times New Roman"/>
              </w:rPr>
              <w:t>Ex presidente</w:t>
            </w:r>
          </w:p>
        </w:tc>
      </w:tr>
      <w:tr w:rsidR="006A4D59" w:rsidRPr="0067008A">
        <w:trPr>
          <w:trHeight w:val="620"/>
        </w:trPr>
        <w:tc>
          <w:tcPr>
            <w:tcW w:w="2860" w:type="dxa"/>
            <w:shd w:val="clear" w:color="auto" w:fill="DEEAF6"/>
          </w:tcPr>
          <w:p w:rsidR="006A4D59" w:rsidRPr="0067008A" w:rsidRDefault="00921711" w:rsidP="00677E33">
            <w:pPr>
              <w:spacing w:after="240" w:line="360" w:lineRule="auto"/>
              <w:jc w:val="center"/>
              <w:rPr>
                <w:rFonts w:ascii="Times New Roman" w:hAnsi="Times New Roman" w:cs="Times New Roman"/>
                <w:b/>
              </w:rPr>
            </w:pPr>
            <w:r w:rsidRPr="0067008A">
              <w:rPr>
                <w:rFonts w:ascii="Times New Roman" w:hAnsi="Times New Roman" w:cs="Times New Roman"/>
                <w:b/>
              </w:rPr>
              <w:t>República Dominicana</w:t>
            </w:r>
          </w:p>
        </w:tc>
        <w:tc>
          <w:tcPr>
            <w:tcW w:w="2963" w:type="dxa"/>
            <w:shd w:val="clear" w:color="auto" w:fill="DEEAF6"/>
          </w:tcPr>
          <w:p w:rsidR="006A4D59" w:rsidRPr="0067008A" w:rsidRDefault="00921711" w:rsidP="00677E33">
            <w:pPr>
              <w:spacing w:after="240" w:line="360" w:lineRule="auto"/>
              <w:jc w:val="center"/>
              <w:rPr>
                <w:rFonts w:ascii="Times New Roman" w:hAnsi="Times New Roman" w:cs="Times New Roman"/>
              </w:rPr>
            </w:pPr>
            <w:r w:rsidRPr="0067008A">
              <w:rPr>
                <w:rFonts w:ascii="Times New Roman" w:hAnsi="Times New Roman" w:cs="Times New Roman"/>
              </w:rPr>
              <w:t>Luis Abinader</w:t>
            </w:r>
          </w:p>
        </w:tc>
        <w:tc>
          <w:tcPr>
            <w:tcW w:w="3202" w:type="dxa"/>
            <w:shd w:val="clear" w:color="auto" w:fill="DEEAF6"/>
          </w:tcPr>
          <w:p w:rsidR="006A4D59" w:rsidRPr="0067008A" w:rsidRDefault="00921711" w:rsidP="00677E33">
            <w:pPr>
              <w:spacing w:after="240" w:line="360" w:lineRule="auto"/>
              <w:jc w:val="center"/>
              <w:rPr>
                <w:rFonts w:ascii="Times New Roman" w:hAnsi="Times New Roman" w:cs="Times New Roman"/>
              </w:rPr>
            </w:pPr>
            <w:r w:rsidRPr="0067008A">
              <w:rPr>
                <w:rFonts w:ascii="Times New Roman" w:hAnsi="Times New Roman" w:cs="Times New Roman"/>
              </w:rPr>
              <w:t>Presidente</w:t>
            </w:r>
          </w:p>
        </w:tc>
      </w:tr>
      <w:tr w:rsidR="006A4D59" w:rsidRPr="0067008A">
        <w:trPr>
          <w:trHeight w:val="620"/>
        </w:trPr>
        <w:tc>
          <w:tcPr>
            <w:tcW w:w="2860" w:type="dxa"/>
            <w:shd w:val="clear" w:color="auto" w:fill="EEF5FB"/>
          </w:tcPr>
          <w:p w:rsidR="006A4D59" w:rsidRPr="0067008A" w:rsidRDefault="00921711" w:rsidP="00677E33">
            <w:pPr>
              <w:spacing w:after="240" w:line="360" w:lineRule="auto"/>
              <w:jc w:val="center"/>
              <w:rPr>
                <w:rFonts w:ascii="Times New Roman" w:hAnsi="Times New Roman" w:cs="Times New Roman"/>
                <w:b/>
              </w:rPr>
            </w:pPr>
            <w:r w:rsidRPr="0067008A">
              <w:rPr>
                <w:rFonts w:ascii="Times New Roman" w:hAnsi="Times New Roman" w:cs="Times New Roman"/>
                <w:b/>
              </w:rPr>
              <w:t>Ecuador</w:t>
            </w:r>
          </w:p>
        </w:tc>
        <w:tc>
          <w:tcPr>
            <w:tcW w:w="2963" w:type="dxa"/>
            <w:shd w:val="clear" w:color="auto" w:fill="EEF5FB"/>
          </w:tcPr>
          <w:p w:rsidR="006A4D59" w:rsidRPr="0067008A" w:rsidRDefault="00921711" w:rsidP="00677E33">
            <w:pPr>
              <w:spacing w:after="240" w:line="360" w:lineRule="auto"/>
              <w:jc w:val="center"/>
              <w:rPr>
                <w:rFonts w:ascii="Times New Roman" w:hAnsi="Times New Roman" w:cs="Times New Roman"/>
              </w:rPr>
            </w:pPr>
            <w:r w:rsidRPr="0067008A">
              <w:rPr>
                <w:rFonts w:ascii="Times New Roman" w:hAnsi="Times New Roman" w:cs="Times New Roman"/>
              </w:rPr>
              <w:t>Guillermo Lasso</w:t>
            </w:r>
          </w:p>
        </w:tc>
        <w:tc>
          <w:tcPr>
            <w:tcW w:w="3202" w:type="dxa"/>
            <w:shd w:val="clear" w:color="auto" w:fill="EEF5FB"/>
          </w:tcPr>
          <w:p w:rsidR="006A4D59" w:rsidRPr="0067008A" w:rsidRDefault="00921711" w:rsidP="00677E33">
            <w:pPr>
              <w:spacing w:after="240" w:line="360" w:lineRule="auto"/>
              <w:jc w:val="center"/>
              <w:rPr>
                <w:rFonts w:ascii="Times New Roman" w:hAnsi="Times New Roman" w:cs="Times New Roman"/>
              </w:rPr>
            </w:pPr>
            <w:r w:rsidRPr="0067008A">
              <w:rPr>
                <w:rFonts w:ascii="Times New Roman" w:hAnsi="Times New Roman" w:cs="Times New Roman"/>
              </w:rPr>
              <w:t>Presidente</w:t>
            </w:r>
          </w:p>
        </w:tc>
      </w:tr>
      <w:tr w:rsidR="006A4D59" w:rsidRPr="0067008A">
        <w:trPr>
          <w:trHeight w:val="620"/>
        </w:trPr>
        <w:tc>
          <w:tcPr>
            <w:tcW w:w="2860" w:type="dxa"/>
            <w:shd w:val="clear" w:color="auto" w:fill="DEEAF6"/>
          </w:tcPr>
          <w:p w:rsidR="006A4D59" w:rsidRPr="0067008A" w:rsidRDefault="00921711" w:rsidP="00677E33">
            <w:pPr>
              <w:spacing w:after="240" w:line="360" w:lineRule="auto"/>
              <w:jc w:val="center"/>
              <w:rPr>
                <w:rFonts w:ascii="Times New Roman" w:hAnsi="Times New Roman" w:cs="Times New Roman"/>
                <w:b/>
              </w:rPr>
            </w:pPr>
            <w:r w:rsidRPr="0067008A">
              <w:rPr>
                <w:rFonts w:ascii="Times New Roman" w:hAnsi="Times New Roman" w:cs="Times New Roman"/>
                <w:b/>
              </w:rPr>
              <w:t>Paraguay</w:t>
            </w:r>
          </w:p>
        </w:tc>
        <w:tc>
          <w:tcPr>
            <w:tcW w:w="2963" w:type="dxa"/>
            <w:shd w:val="clear" w:color="auto" w:fill="DEEAF6"/>
          </w:tcPr>
          <w:p w:rsidR="006A4D59" w:rsidRPr="0067008A" w:rsidRDefault="00921711" w:rsidP="00677E33">
            <w:pPr>
              <w:spacing w:after="240" w:line="360" w:lineRule="auto"/>
              <w:jc w:val="center"/>
              <w:rPr>
                <w:rFonts w:ascii="Times New Roman" w:hAnsi="Times New Roman" w:cs="Times New Roman"/>
              </w:rPr>
            </w:pPr>
            <w:r w:rsidRPr="0067008A">
              <w:rPr>
                <w:rFonts w:ascii="Times New Roman" w:hAnsi="Times New Roman" w:cs="Times New Roman"/>
              </w:rPr>
              <w:t>Horacio Cartes</w:t>
            </w:r>
          </w:p>
        </w:tc>
        <w:tc>
          <w:tcPr>
            <w:tcW w:w="3202" w:type="dxa"/>
            <w:shd w:val="clear" w:color="auto" w:fill="DEEAF6"/>
          </w:tcPr>
          <w:p w:rsidR="006A4D59" w:rsidRPr="0067008A" w:rsidRDefault="00921711" w:rsidP="00677E33">
            <w:pPr>
              <w:spacing w:after="240" w:line="360" w:lineRule="auto"/>
              <w:jc w:val="center"/>
              <w:rPr>
                <w:rFonts w:ascii="Times New Roman" w:hAnsi="Times New Roman" w:cs="Times New Roman"/>
              </w:rPr>
            </w:pPr>
            <w:r w:rsidRPr="0067008A">
              <w:rPr>
                <w:rFonts w:ascii="Times New Roman" w:hAnsi="Times New Roman" w:cs="Times New Roman"/>
              </w:rPr>
              <w:t>Ex presidente</w:t>
            </w:r>
          </w:p>
        </w:tc>
      </w:tr>
      <w:tr w:rsidR="006A4D59" w:rsidRPr="0067008A">
        <w:trPr>
          <w:trHeight w:val="620"/>
        </w:trPr>
        <w:tc>
          <w:tcPr>
            <w:tcW w:w="2860" w:type="dxa"/>
            <w:shd w:val="clear" w:color="auto" w:fill="EEF5FB"/>
          </w:tcPr>
          <w:p w:rsidR="006A4D59" w:rsidRPr="0067008A" w:rsidRDefault="00921711" w:rsidP="00677E33">
            <w:pPr>
              <w:spacing w:after="240" w:line="360" w:lineRule="auto"/>
              <w:jc w:val="center"/>
              <w:rPr>
                <w:rFonts w:ascii="Times New Roman" w:hAnsi="Times New Roman" w:cs="Times New Roman"/>
                <w:b/>
              </w:rPr>
            </w:pPr>
            <w:r w:rsidRPr="0067008A">
              <w:rPr>
                <w:rFonts w:ascii="Times New Roman" w:hAnsi="Times New Roman" w:cs="Times New Roman"/>
                <w:b/>
              </w:rPr>
              <w:t>Perú</w:t>
            </w:r>
          </w:p>
        </w:tc>
        <w:tc>
          <w:tcPr>
            <w:tcW w:w="2963" w:type="dxa"/>
            <w:shd w:val="clear" w:color="auto" w:fill="EEF5FB"/>
          </w:tcPr>
          <w:p w:rsidR="006A4D59" w:rsidRPr="0067008A" w:rsidRDefault="00921711" w:rsidP="00677E33">
            <w:pPr>
              <w:spacing w:after="240" w:line="360" w:lineRule="auto"/>
              <w:jc w:val="center"/>
              <w:rPr>
                <w:rFonts w:ascii="Times New Roman" w:hAnsi="Times New Roman" w:cs="Times New Roman"/>
              </w:rPr>
            </w:pPr>
            <w:r w:rsidRPr="0067008A">
              <w:rPr>
                <w:rFonts w:ascii="Times New Roman" w:hAnsi="Times New Roman" w:cs="Times New Roman"/>
              </w:rPr>
              <w:t>Pedro Pablo Kuczynski</w:t>
            </w:r>
          </w:p>
        </w:tc>
        <w:tc>
          <w:tcPr>
            <w:tcW w:w="3202" w:type="dxa"/>
            <w:shd w:val="clear" w:color="auto" w:fill="EEF5FB"/>
          </w:tcPr>
          <w:p w:rsidR="006A4D59" w:rsidRPr="0067008A" w:rsidRDefault="00921711" w:rsidP="00677E33">
            <w:pPr>
              <w:spacing w:after="240" w:line="360" w:lineRule="auto"/>
              <w:jc w:val="center"/>
              <w:rPr>
                <w:rFonts w:ascii="Times New Roman" w:hAnsi="Times New Roman" w:cs="Times New Roman"/>
              </w:rPr>
            </w:pPr>
            <w:r w:rsidRPr="0067008A">
              <w:rPr>
                <w:rFonts w:ascii="Times New Roman" w:hAnsi="Times New Roman" w:cs="Times New Roman"/>
              </w:rPr>
              <w:t>Ex presidente</w:t>
            </w:r>
          </w:p>
        </w:tc>
      </w:tr>
      <w:tr w:rsidR="006A4D59" w:rsidRPr="0067008A">
        <w:trPr>
          <w:trHeight w:val="620"/>
        </w:trPr>
        <w:tc>
          <w:tcPr>
            <w:tcW w:w="2860" w:type="dxa"/>
            <w:vMerge w:val="restart"/>
            <w:shd w:val="clear" w:color="auto" w:fill="DEEAF6"/>
          </w:tcPr>
          <w:p w:rsidR="006A4D59" w:rsidRPr="0067008A" w:rsidRDefault="00921711" w:rsidP="00677E33">
            <w:pPr>
              <w:spacing w:after="240" w:line="360" w:lineRule="auto"/>
              <w:jc w:val="center"/>
              <w:rPr>
                <w:rFonts w:ascii="Times New Roman" w:hAnsi="Times New Roman" w:cs="Times New Roman"/>
                <w:b/>
              </w:rPr>
            </w:pPr>
            <w:r w:rsidRPr="0067008A">
              <w:rPr>
                <w:rFonts w:ascii="Times New Roman" w:hAnsi="Times New Roman" w:cs="Times New Roman"/>
                <w:b/>
              </w:rPr>
              <w:t>Panamá</w:t>
            </w:r>
          </w:p>
        </w:tc>
        <w:tc>
          <w:tcPr>
            <w:tcW w:w="2963" w:type="dxa"/>
            <w:shd w:val="clear" w:color="auto" w:fill="DEEAF6"/>
          </w:tcPr>
          <w:p w:rsidR="006A4D59" w:rsidRPr="0067008A" w:rsidRDefault="00921711" w:rsidP="00677E33">
            <w:pPr>
              <w:spacing w:after="240" w:line="360" w:lineRule="auto"/>
              <w:jc w:val="center"/>
              <w:rPr>
                <w:rFonts w:ascii="Times New Roman" w:hAnsi="Times New Roman" w:cs="Times New Roman"/>
              </w:rPr>
            </w:pPr>
            <w:r w:rsidRPr="0067008A">
              <w:rPr>
                <w:rFonts w:ascii="Times New Roman" w:hAnsi="Times New Roman" w:cs="Times New Roman"/>
              </w:rPr>
              <w:t>Juan Carlos Varela</w:t>
            </w:r>
          </w:p>
        </w:tc>
        <w:tc>
          <w:tcPr>
            <w:tcW w:w="3202" w:type="dxa"/>
            <w:shd w:val="clear" w:color="auto" w:fill="DEEAF6"/>
          </w:tcPr>
          <w:p w:rsidR="006A4D59" w:rsidRPr="0067008A" w:rsidRDefault="00921711" w:rsidP="00677E33">
            <w:pPr>
              <w:spacing w:after="240" w:line="360" w:lineRule="auto"/>
              <w:jc w:val="center"/>
              <w:rPr>
                <w:rFonts w:ascii="Times New Roman" w:hAnsi="Times New Roman" w:cs="Times New Roman"/>
              </w:rPr>
            </w:pPr>
            <w:r w:rsidRPr="0067008A">
              <w:rPr>
                <w:rFonts w:ascii="Times New Roman" w:hAnsi="Times New Roman" w:cs="Times New Roman"/>
              </w:rPr>
              <w:t>Ex presidente</w:t>
            </w:r>
          </w:p>
        </w:tc>
      </w:tr>
      <w:tr w:rsidR="006A4D59" w:rsidRPr="0067008A">
        <w:trPr>
          <w:trHeight w:val="620"/>
        </w:trPr>
        <w:tc>
          <w:tcPr>
            <w:tcW w:w="2860" w:type="dxa"/>
            <w:vMerge/>
            <w:shd w:val="clear" w:color="auto" w:fill="auto"/>
          </w:tcPr>
          <w:p w:rsidR="006A4D59" w:rsidRPr="0067008A" w:rsidRDefault="006A4D59" w:rsidP="00677E33">
            <w:pPr>
              <w:spacing w:after="240" w:line="360" w:lineRule="auto"/>
              <w:jc w:val="both"/>
              <w:rPr>
                <w:rFonts w:ascii="Times New Roman" w:hAnsi="Times New Roman" w:cs="Times New Roman"/>
              </w:rPr>
            </w:pPr>
          </w:p>
        </w:tc>
        <w:tc>
          <w:tcPr>
            <w:tcW w:w="2963" w:type="dxa"/>
            <w:shd w:val="clear" w:color="auto" w:fill="EEF5FB"/>
          </w:tcPr>
          <w:p w:rsidR="006A4D59" w:rsidRPr="0067008A" w:rsidRDefault="00921711" w:rsidP="00677E33">
            <w:pPr>
              <w:spacing w:after="240" w:line="360" w:lineRule="auto"/>
              <w:jc w:val="center"/>
              <w:rPr>
                <w:rFonts w:ascii="Times New Roman" w:hAnsi="Times New Roman" w:cs="Times New Roman"/>
              </w:rPr>
            </w:pPr>
            <w:r w:rsidRPr="0067008A">
              <w:rPr>
                <w:rFonts w:ascii="Times New Roman" w:hAnsi="Times New Roman" w:cs="Times New Roman"/>
              </w:rPr>
              <w:t>Ricardo Martinelli</w:t>
            </w:r>
          </w:p>
        </w:tc>
        <w:tc>
          <w:tcPr>
            <w:tcW w:w="3202" w:type="dxa"/>
            <w:shd w:val="clear" w:color="auto" w:fill="EEF5FB"/>
          </w:tcPr>
          <w:p w:rsidR="006A4D59" w:rsidRPr="0067008A" w:rsidRDefault="00921711" w:rsidP="00677E33">
            <w:pPr>
              <w:spacing w:after="240" w:line="360" w:lineRule="auto"/>
              <w:jc w:val="center"/>
              <w:rPr>
                <w:rFonts w:ascii="Times New Roman" w:hAnsi="Times New Roman" w:cs="Times New Roman"/>
              </w:rPr>
            </w:pPr>
            <w:r w:rsidRPr="0067008A">
              <w:rPr>
                <w:rFonts w:ascii="Times New Roman" w:hAnsi="Times New Roman" w:cs="Times New Roman"/>
              </w:rPr>
              <w:t>Ex presidente</w:t>
            </w:r>
          </w:p>
        </w:tc>
      </w:tr>
      <w:tr w:rsidR="006A4D59" w:rsidRPr="0067008A">
        <w:trPr>
          <w:trHeight w:val="620"/>
        </w:trPr>
        <w:tc>
          <w:tcPr>
            <w:tcW w:w="2860" w:type="dxa"/>
            <w:vMerge/>
            <w:shd w:val="clear" w:color="auto" w:fill="auto"/>
          </w:tcPr>
          <w:p w:rsidR="006A4D59" w:rsidRPr="0067008A" w:rsidRDefault="006A4D59" w:rsidP="00677E33">
            <w:pPr>
              <w:spacing w:after="240" w:line="360" w:lineRule="auto"/>
              <w:jc w:val="both"/>
              <w:rPr>
                <w:rFonts w:ascii="Times New Roman" w:hAnsi="Times New Roman" w:cs="Times New Roman"/>
              </w:rPr>
            </w:pPr>
          </w:p>
        </w:tc>
        <w:tc>
          <w:tcPr>
            <w:tcW w:w="2963" w:type="dxa"/>
            <w:shd w:val="clear" w:color="auto" w:fill="DEEAF6"/>
          </w:tcPr>
          <w:p w:rsidR="006A4D59" w:rsidRPr="0067008A" w:rsidRDefault="00921711" w:rsidP="00677E33">
            <w:pPr>
              <w:spacing w:after="240" w:line="360" w:lineRule="auto"/>
              <w:jc w:val="center"/>
              <w:rPr>
                <w:rFonts w:ascii="Times New Roman" w:hAnsi="Times New Roman" w:cs="Times New Roman"/>
              </w:rPr>
            </w:pPr>
            <w:r w:rsidRPr="0067008A">
              <w:rPr>
                <w:rFonts w:ascii="Times New Roman" w:hAnsi="Times New Roman" w:cs="Times New Roman"/>
              </w:rPr>
              <w:t>Ernesto Perez Balladares</w:t>
            </w:r>
          </w:p>
        </w:tc>
        <w:tc>
          <w:tcPr>
            <w:tcW w:w="3202" w:type="dxa"/>
            <w:shd w:val="clear" w:color="auto" w:fill="DEEAF6"/>
          </w:tcPr>
          <w:p w:rsidR="006A4D59" w:rsidRPr="0067008A" w:rsidRDefault="00921711" w:rsidP="00677E33">
            <w:pPr>
              <w:spacing w:after="240" w:line="360" w:lineRule="auto"/>
              <w:jc w:val="center"/>
              <w:rPr>
                <w:rFonts w:ascii="Times New Roman" w:hAnsi="Times New Roman" w:cs="Times New Roman"/>
              </w:rPr>
            </w:pPr>
            <w:r w:rsidRPr="0067008A">
              <w:rPr>
                <w:rFonts w:ascii="Times New Roman" w:hAnsi="Times New Roman" w:cs="Times New Roman"/>
              </w:rPr>
              <w:t>Ex presidente</w:t>
            </w:r>
          </w:p>
        </w:tc>
      </w:tr>
      <w:tr w:rsidR="006A4D59" w:rsidRPr="0067008A">
        <w:trPr>
          <w:trHeight w:val="620"/>
        </w:trPr>
        <w:tc>
          <w:tcPr>
            <w:tcW w:w="2860" w:type="dxa"/>
            <w:shd w:val="clear" w:color="auto" w:fill="EEF5FB"/>
          </w:tcPr>
          <w:p w:rsidR="006A4D59" w:rsidRPr="0067008A" w:rsidRDefault="00921711" w:rsidP="00677E33">
            <w:pPr>
              <w:spacing w:after="240" w:line="360" w:lineRule="auto"/>
              <w:jc w:val="center"/>
              <w:rPr>
                <w:rFonts w:ascii="Times New Roman" w:hAnsi="Times New Roman" w:cs="Times New Roman"/>
                <w:b/>
              </w:rPr>
            </w:pPr>
            <w:r w:rsidRPr="0067008A">
              <w:rPr>
                <w:rFonts w:ascii="Times New Roman" w:hAnsi="Times New Roman" w:cs="Times New Roman"/>
                <w:b/>
              </w:rPr>
              <w:t>Brasil</w:t>
            </w:r>
          </w:p>
        </w:tc>
        <w:tc>
          <w:tcPr>
            <w:tcW w:w="2963" w:type="dxa"/>
            <w:shd w:val="clear" w:color="auto" w:fill="EEF5FB"/>
          </w:tcPr>
          <w:p w:rsidR="006A4D59" w:rsidRPr="0067008A" w:rsidRDefault="00921711" w:rsidP="00677E33">
            <w:pPr>
              <w:spacing w:after="240" w:line="360" w:lineRule="auto"/>
              <w:jc w:val="center"/>
              <w:rPr>
                <w:rFonts w:ascii="Times New Roman" w:hAnsi="Times New Roman" w:cs="Times New Roman"/>
              </w:rPr>
            </w:pPr>
            <w:r w:rsidRPr="0067008A">
              <w:rPr>
                <w:rFonts w:ascii="Times New Roman" w:hAnsi="Times New Roman" w:cs="Times New Roman"/>
              </w:rPr>
              <w:t>Paulo Guedes</w:t>
            </w:r>
          </w:p>
        </w:tc>
        <w:tc>
          <w:tcPr>
            <w:tcW w:w="3202" w:type="dxa"/>
            <w:shd w:val="clear" w:color="auto" w:fill="EEF5FB"/>
          </w:tcPr>
          <w:p w:rsidR="006A4D59" w:rsidRPr="0067008A" w:rsidRDefault="00921711" w:rsidP="00677E33">
            <w:pPr>
              <w:spacing w:after="240" w:line="360" w:lineRule="auto"/>
              <w:jc w:val="center"/>
              <w:rPr>
                <w:rFonts w:ascii="Times New Roman" w:hAnsi="Times New Roman" w:cs="Times New Roman"/>
              </w:rPr>
            </w:pPr>
            <w:r w:rsidRPr="0067008A">
              <w:rPr>
                <w:rFonts w:ascii="Times New Roman" w:hAnsi="Times New Roman" w:cs="Times New Roman"/>
              </w:rPr>
              <w:t>Ministro de Economía</w:t>
            </w:r>
          </w:p>
        </w:tc>
      </w:tr>
      <w:tr w:rsidR="006A4D59" w:rsidRPr="0067008A">
        <w:trPr>
          <w:trHeight w:val="620"/>
        </w:trPr>
        <w:tc>
          <w:tcPr>
            <w:tcW w:w="2860" w:type="dxa"/>
            <w:shd w:val="clear" w:color="auto" w:fill="DEEAF6"/>
          </w:tcPr>
          <w:p w:rsidR="006A4D59" w:rsidRPr="0067008A" w:rsidRDefault="00921711" w:rsidP="00677E33">
            <w:pPr>
              <w:spacing w:after="240" w:line="360" w:lineRule="auto"/>
              <w:jc w:val="center"/>
              <w:rPr>
                <w:rFonts w:ascii="Times New Roman" w:hAnsi="Times New Roman" w:cs="Times New Roman"/>
                <w:b/>
              </w:rPr>
            </w:pPr>
            <w:r w:rsidRPr="0067008A">
              <w:rPr>
                <w:rFonts w:ascii="Times New Roman" w:hAnsi="Times New Roman" w:cs="Times New Roman"/>
                <w:b/>
              </w:rPr>
              <w:t>Haiti</w:t>
            </w:r>
          </w:p>
        </w:tc>
        <w:tc>
          <w:tcPr>
            <w:tcW w:w="2963" w:type="dxa"/>
            <w:shd w:val="clear" w:color="auto" w:fill="DEEAF6"/>
          </w:tcPr>
          <w:p w:rsidR="006A4D59" w:rsidRPr="0067008A" w:rsidRDefault="00921711" w:rsidP="00677E33">
            <w:pPr>
              <w:spacing w:after="240" w:line="360" w:lineRule="auto"/>
              <w:jc w:val="center"/>
              <w:rPr>
                <w:rFonts w:ascii="Times New Roman" w:hAnsi="Times New Roman" w:cs="Times New Roman"/>
              </w:rPr>
            </w:pPr>
            <w:r w:rsidRPr="0067008A">
              <w:rPr>
                <w:rFonts w:ascii="Times New Roman" w:hAnsi="Times New Roman" w:cs="Times New Roman"/>
              </w:rPr>
              <w:t>Laurent Lamothe</w:t>
            </w:r>
          </w:p>
        </w:tc>
        <w:tc>
          <w:tcPr>
            <w:tcW w:w="3202" w:type="dxa"/>
            <w:shd w:val="clear" w:color="auto" w:fill="DEEAF6"/>
          </w:tcPr>
          <w:p w:rsidR="006A4D59" w:rsidRPr="0067008A" w:rsidRDefault="00921711" w:rsidP="00677E33">
            <w:pPr>
              <w:spacing w:after="240" w:line="360" w:lineRule="auto"/>
              <w:jc w:val="center"/>
              <w:rPr>
                <w:rFonts w:ascii="Times New Roman" w:hAnsi="Times New Roman" w:cs="Times New Roman"/>
              </w:rPr>
            </w:pPr>
            <w:r w:rsidRPr="0067008A">
              <w:rPr>
                <w:rFonts w:ascii="Times New Roman" w:hAnsi="Times New Roman" w:cs="Times New Roman"/>
              </w:rPr>
              <w:t>Ex primer ministro</w:t>
            </w:r>
          </w:p>
        </w:tc>
      </w:tr>
    </w:tbl>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Fuente: ICIJ</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Elaborado: Comisión Garantías Constitucionales,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Asamblea Nacional, 2021</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Para el caso ecuatoriano, el ICIJ elaboró una página web que detalla la información filtrada sobre el señor Guillermo Alberto Santiago Lasso Mendoza, Presidente de la República del Ecuador.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De acuerdo con el ICIJ, Lasso habría tenido vínculos con 10 compañías offshore y fideicomisos en Panamá, Dakota del Sur y Delaware (estos dos últimos están en Estados Unidos de América). </w:t>
      </w:r>
    </w:p>
    <w:p w:rsidR="006A4D59" w:rsidRPr="0067008A" w:rsidRDefault="00921711" w:rsidP="00677E33">
      <w:pPr>
        <w:spacing w:after="240" w:line="360" w:lineRule="auto"/>
        <w:jc w:val="both"/>
        <w:rPr>
          <w:rFonts w:ascii="Times New Roman" w:hAnsi="Times New Roman" w:cs="Times New Roman"/>
          <w:i/>
        </w:rPr>
      </w:pPr>
      <w:r w:rsidRPr="0067008A">
        <w:rPr>
          <w:rFonts w:ascii="Times New Roman" w:hAnsi="Times New Roman" w:cs="Times New Roman"/>
          <w:i/>
        </w:rPr>
        <w:t>“Otro rico latinoamericano que estableció fideicomisos en Dakota del Sur es Guillermo Lasso, un banquero que fue elegido presidente de Ecuador en abril. Los registros filtrados muestran que Lasso transfirió activos a dos fideicomisos en Dakota del Sur en diciembre de 2017, tres meses después de que el parlamento de Ecuador aprobara una ley que prohíbe a los funcionarios públicos mantener activos en paraísos fiscales. Los registros muestran que Lasso trasladó dos empresas offshore a los fideicomisos de Dakota del Sur desde dos fundaciones secretas en Panamá.”</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En 2017, se crearon dos fideicomisos Bretten Trust y Liberty US Trust en Dakota del Sur, administrados por Trident Group Trust. Lasso autorizó la transferencia de las empresas panameñas denominadas Bernini y Barberini, a esos dos nuevos fideicomisos. Según las reglas que rigen cada fideicomiso, se realizan distribuciones mensuales a los beneficiarios después de la muerte de Lasso, incluidos $20,000 para la esposa de Lasso, $2,000 para sus hijos y $1,500 para su hermano.</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Otras sociedades offshore relacionadas con Lasso y fundaciones de interés privado que aparecen en los Pandora Papers han sido disueltas: Bernini Foundation, Bretten Holdings, Da Vinci Foundation, Fundación Bienes Raíces, Nora Group Investment Corp., Pietro Overseas SA, Positano Trade LLC y Tintoretto International Fundación.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Lasso en diversas intervenciones públicas afirmó que estas entidades actualmente </w:t>
      </w:r>
      <w:r w:rsidRPr="0067008A">
        <w:rPr>
          <w:rFonts w:ascii="Times New Roman" w:hAnsi="Times New Roman" w:cs="Times New Roman"/>
          <w:i/>
        </w:rPr>
        <w:t>"no tienen existencia legal";</w:t>
      </w:r>
      <w:r w:rsidRPr="0067008A">
        <w:rPr>
          <w:rFonts w:ascii="Times New Roman" w:hAnsi="Times New Roman" w:cs="Times New Roman"/>
        </w:rPr>
        <w:t xml:space="preserve"> y señaló que </w:t>
      </w:r>
      <w:r w:rsidRPr="0067008A">
        <w:rPr>
          <w:rFonts w:ascii="Times New Roman" w:hAnsi="Times New Roman" w:cs="Times New Roman"/>
          <w:i/>
        </w:rPr>
        <w:t xml:space="preserve">"todo uso anterior de cualquier entidad internacional" </w:t>
      </w:r>
      <w:r w:rsidRPr="0067008A">
        <w:rPr>
          <w:rFonts w:ascii="Times New Roman" w:hAnsi="Times New Roman" w:cs="Times New Roman"/>
        </w:rPr>
        <w:t>era legítimo. Ninguna de las entidades offshore está relacionada con su servicio público, dijo.</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En el corazón de los Pandora Papers, se identificaron en total 14 firmas offshore que ayudan a los clientes a establecer compañías en jurisdicciones secretas. Para el caso del Guillermo Lasso Mendoza, el ICIJ se basa en datos filtrados en: </w:t>
      </w:r>
    </w:p>
    <w:p w:rsidR="006A4D59" w:rsidRPr="0067008A" w:rsidRDefault="00921711" w:rsidP="0030242D">
      <w:pPr>
        <w:spacing w:after="240" w:line="360" w:lineRule="auto"/>
        <w:jc w:val="both"/>
        <w:rPr>
          <w:rFonts w:ascii="Times New Roman" w:hAnsi="Times New Roman" w:cs="Times New Roman"/>
        </w:rPr>
      </w:pPr>
      <w:r w:rsidRPr="0067008A">
        <w:rPr>
          <w:rFonts w:ascii="Times New Roman" w:hAnsi="Times New Roman" w:cs="Times New Roman"/>
        </w:rPr>
        <w:t xml:space="preserve">Alemán, Cordero, Galindo &amp; Lee, o Alcogal, es un proveedor offshore de referencia para los principales políticos y élites en América Latina y más allá. Fundada en Panamá, la firma tiene vínculos con casi la mitad de todos los políticos cuyos nombres aparecen en la filtración de Pandora Papers. </w:t>
      </w:r>
    </w:p>
    <w:p w:rsidR="006A4D59" w:rsidRPr="0067008A" w:rsidRDefault="00921711" w:rsidP="0030242D">
      <w:pPr>
        <w:spacing w:after="240" w:line="360" w:lineRule="auto"/>
        <w:jc w:val="both"/>
        <w:rPr>
          <w:rFonts w:ascii="Times New Roman" w:hAnsi="Times New Roman" w:cs="Times New Roman"/>
        </w:rPr>
      </w:pPr>
      <w:r w:rsidRPr="0067008A">
        <w:rPr>
          <w:rFonts w:ascii="Times New Roman" w:hAnsi="Times New Roman" w:cs="Times New Roman"/>
        </w:rPr>
        <w:t xml:space="preserve">Trident Trust es uno de los proveedores offshore más grandes del mundo. Está vinculado a casi 100 políticos y funcionarios públicos identificados en los Pandora Papers. </w:t>
      </w:r>
    </w:p>
    <w:p w:rsidR="006A4D59" w:rsidRPr="0067008A" w:rsidRDefault="00921711" w:rsidP="00677E33">
      <w:pPr>
        <w:spacing w:after="240" w:line="360" w:lineRule="auto"/>
        <w:jc w:val="center"/>
        <w:rPr>
          <w:rFonts w:ascii="Times New Roman" w:hAnsi="Times New Roman" w:cs="Times New Roman"/>
          <w:vertAlign w:val="superscript"/>
        </w:rPr>
      </w:pPr>
      <w:r w:rsidRPr="0067008A">
        <w:rPr>
          <w:rFonts w:ascii="Times New Roman" w:hAnsi="Times New Roman" w:cs="Times New Roman"/>
          <w:b/>
        </w:rPr>
        <w:t>Información que el ICIJ cargó en su página web a partir de los registros filtrados</w:t>
      </w:r>
      <w:r w:rsidRPr="0067008A">
        <w:rPr>
          <w:rFonts w:ascii="Times New Roman" w:hAnsi="Times New Roman" w:cs="Times New Roman"/>
          <w:vertAlign w:val="superscript"/>
        </w:rPr>
        <w:t>[1]</w:t>
      </w:r>
    </w:p>
    <w:tbl>
      <w:tblPr>
        <w:tblW w:w="9025" w:type="dxa"/>
        <w:tblBorders>
          <w:bottom w:val="single" w:sz="12" w:space="0" w:color="FFFFFF"/>
          <w:insideH w:val="single" w:sz="12" w:space="0" w:color="FFFFFF"/>
        </w:tblBorders>
        <w:tblCellMar>
          <w:top w:w="100" w:type="dxa"/>
          <w:left w:w="100" w:type="dxa"/>
          <w:bottom w:w="100" w:type="dxa"/>
          <w:right w:w="100" w:type="dxa"/>
        </w:tblCellMar>
        <w:tblLook w:val="0600" w:firstRow="0" w:lastRow="0" w:firstColumn="0" w:lastColumn="0" w:noHBand="1" w:noVBand="1"/>
      </w:tblPr>
      <w:tblGrid>
        <w:gridCol w:w="1655"/>
        <w:gridCol w:w="1655"/>
        <w:gridCol w:w="5715"/>
      </w:tblGrid>
      <w:tr w:rsidR="006A4D59" w:rsidRPr="0067008A">
        <w:trPr>
          <w:trHeight w:val="635"/>
          <w:tblHeader/>
        </w:trPr>
        <w:tc>
          <w:tcPr>
            <w:tcW w:w="1655" w:type="dxa"/>
            <w:tcBorders>
              <w:bottom w:val="single" w:sz="12" w:space="0" w:color="FFFFFF"/>
            </w:tcBorders>
            <w:shd w:val="clear" w:color="auto" w:fill="D25F12"/>
          </w:tcPr>
          <w:p w:rsidR="006A4D59" w:rsidRPr="0067008A" w:rsidRDefault="00921711" w:rsidP="00677E33">
            <w:pPr>
              <w:spacing w:after="240" w:line="360" w:lineRule="auto"/>
              <w:jc w:val="center"/>
              <w:rPr>
                <w:rFonts w:ascii="Times New Roman" w:hAnsi="Times New Roman" w:cs="Times New Roman"/>
                <w:b/>
                <w:color w:val="FFFFFF"/>
              </w:rPr>
            </w:pPr>
            <w:r w:rsidRPr="0067008A">
              <w:rPr>
                <w:rFonts w:ascii="Times New Roman" w:hAnsi="Times New Roman" w:cs="Times New Roman"/>
                <w:b/>
                <w:color w:val="FFFFFF"/>
              </w:rPr>
              <w:t>Calidad</w:t>
            </w:r>
          </w:p>
        </w:tc>
        <w:tc>
          <w:tcPr>
            <w:tcW w:w="1655" w:type="dxa"/>
            <w:tcBorders>
              <w:bottom w:val="single" w:sz="12" w:space="0" w:color="FFFFFF"/>
            </w:tcBorders>
            <w:shd w:val="clear" w:color="auto" w:fill="D25F12"/>
          </w:tcPr>
          <w:p w:rsidR="006A4D59" w:rsidRPr="0067008A" w:rsidRDefault="00921711" w:rsidP="00677E33">
            <w:pPr>
              <w:spacing w:after="240" w:line="360" w:lineRule="auto"/>
              <w:jc w:val="center"/>
              <w:rPr>
                <w:rFonts w:ascii="Times New Roman" w:hAnsi="Times New Roman" w:cs="Times New Roman"/>
                <w:b/>
                <w:color w:val="FFFFFF"/>
              </w:rPr>
            </w:pPr>
            <w:r w:rsidRPr="0067008A">
              <w:rPr>
                <w:rFonts w:ascii="Times New Roman" w:hAnsi="Times New Roman" w:cs="Times New Roman"/>
                <w:b/>
                <w:color w:val="FFFFFF"/>
              </w:rPr>
              <w:t>Entidad</w:t>
            </w:r>
          </w:p>
        </w:tc>
        <w:tc>
          <w:tcPr>
            <w:tcW w:w="5715" w:type="dxa"/>
            <w:tcBorders>
              <w:bottom w:val="single" w:sz="12" w:space="0" w:color="FFFFFF"/>
            </w:tcBorders>
            <w:shd w:val="clear" w:color="auto" w:fill="D25F12"/>
          </w:tcPr>
          <w:p w:rsidR="006A4D59" w:rsidRPr="0067008A" w:rsidRDefault="00921711" w:rsidP="00677E33">
            <w:pPr>
              <w:spacing w:after="240" w:line="360" w:lineRule="auto"/>
              <w:jc w:val="center"/>
              <w:rPr>
                <w:rFonts w:ascii="Times New Roman" w:hAnsi="Times New Roman" w:cs="Times New Roman"/>
                <w:b/>
                <w:color w:val="FFFFFF"/>
              </w:rPr>
            </w:pPr>
            <w:r w:rsidRPr="0067008A">
              <w:rPr>
                <w:rFonts w:ascii="Times New Roman" w:hAnsi="Times New Roman" w:cs="Times New Roman"/>
                <w:b/>
                <w:color w:val="FFFFFF"/>
              </w:rPr>
              <w:t>Detalle</w:t>
            </w:r>
          </w:p>
        </w:tc>
      </w:tr>
      <w:tr w:rsidR="006A4D59" w:rsidRPr="0067008A">
        <w:trPr>
          <w:trHeight w:val="4325"/>
        </w:trPr>
        <w:tc>
          <w:tcPr>
            <w:tcW w:w="1655" w:type="dxa"/>
            <w:vMerge w:val="restart"/>
            <w:shd w:val="clear" w:color="auto" w:fill="CCCCCC"/>
          </w:tcPr>
          <w:p w:rsidR="006A4D59" w:rsidRPr="0067008A" w:rsidRDefault="00921711" w:rsidP="00677E33">
            <w:pPr>
              <w:spacing w:after="240" w:line="360" w:lineRule="auto"/>
              <w:jc w:val="both"/>
              <w:rPr>
                <w:rFonts w:ascii="Times New Roman" w:hAnsi="Times New Roman" w:cs="Times New Roman"/>
                <w:b/>
              </w:rPr>
            </w:pPr>
            <w:r w:rsidRPr="0067008A">
              <w:rPr>
                <w:rFonts w:ascii="Times New Roman" w:hAnsi="Times New Roman" w:cs="Times New Roman"/>
                <w:b/>
              </w:rPr>
              <w:t>Beneficiario</w:t>
            </w:r>
          </w:p>
          <w:p w:rsidR="006A4D59" w:rsidRPr="0067008A" w:rsidRDefault="00921711" w:rsidP="00677E33">
            <w:pPr>
              <w:spacing w:after="240" w:line="360" w:lineRule="auto"/>
              <w:jc w:val="both"/>
              <w:rPr>
                <w:rFonts w:ascii="Times New Roman" w:hAnsi="Times New Roman" w:cs="Times New Roman"/>
                <w:b/>
              </w:rPr>
            </w:pPr>
            <w:r w:rsidRPr="0067008A">
              <w:rPr>
                <w:rFonts w:ascii="Times New Roman" w:hAnsi="Times New Roman" w:cs="Times New Roman"/>
                <w:b/>
              </w:rPr>
              <w:t xml:space="preserve"> </w:t>
            </w:r>
          </w:p>
        </w:tc>
        <w:tc>
          <w:tcPr>
            <w:tcW w:w="1655" w:type="dxa"/>
            <w:shd w:val="clear" w:color="auto" w:fill="CCCCCC"/>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Fundación Internacional Tintoretto.</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 </w:t>
            </w:r>
          </w:p>
        </w:tc>
        <w:tc>
          <w:tcPr>
            <w:tcW w:w="5715" w:type="dxa"/>
            <w:shd w:val="clear" w:color="auto" w:fill="CCCCCC"/>
          </w:tcPr>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eastAsia="Times New Roman" w:hAnsi="Times New Roman" w:cs="Times New Roman"/>
              </w:rPr>
              <w:t>F</w:t>
            </w:r>
            <w:r w:rsidRPr="0067008A">
              <w:rPr>
                <w:rFonts w:ascii="Times New Roman" w:hAnsi="Times New Roman" w:cs="Times New Roman"/>
              </w:rPr>
              <w:t>echa: 2020-SEP-15.</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Info ICIJ:</w:t>
            </w:r>
            <w:r w:rsidR="00677E33" w:rsidRPr="0067008A">
              <w:rPr>
                <w:rFonts w:ascii="Times New Roman" w:hAnsi="Times New Roman" w:cs="Times New Roman"/>
              </w:rPr>
              <w:t xml:space="preserve"> </w:t>
            </w:r>
            <w:r w:rsidRPr="0067008A">
              <w:rPr>
                <w:rFonts w:ascii="Times New Roman" w:hAnsi="Times New Roman" w:cs="Times New Roman"/>
                <w:b/>
              </w:rPr>
              <w:t>los datos son actuales hasta el 2017.</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Proveedor: Alcogal</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 xml:space="preserve">• </w:t>
            </w:r>
            <w:r w:rsidRPr="0067008A">
              <w:rPr>
                <w:rFonts w:ascii="Times New Roman" w:hAnsi="Times New Roman" w:cs="Times New Roman"/>
              </w:rPr>
              <w:t>Fecha de Registro: 2012-MAR-06.</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Jurisdicción: Panamá.</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 xml:space="preserve">• </w:t>
            </w:r>
            <w:r w:rsidRPr="0067008A">
              <w:rPr>
                <w:rFonts w:ascii="Times New Roman" w:hAnsi="Times New Roman" w:cs="Times New Roman"/>
              </w:rPr>
              <w:t>Fuente: Papeles de Pandora - Alemán, Cordero, Galindo &amp; Lee (Alcogal).</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 xml:space="preserve">• </w:t>
            </w:r>
            <w:r w:rsidRPr="0067008A">
              <w:rPr>
                <w:rFonts w:ascii="Times New Roman" w:hAnsi="Times New Roman" w:cs="Times New Roman"/>
              </w:rPr>
              <w:t>Punto de identificación: BEBC34B800F2B9FF7C29460E6913F0B</w:t>
            </w:r>
            <w:r w:rsidR="00677E33" w:rsidRPr="0067008A">
              <w:rPr>
                <w:rFonts w:ascii="Times New Roman" w:hAnsi="Times New Roman" w:cs="Times New Roman"/>
              </w:rPr>
              <w:t xml:space="preserve"> </w:t>
            </w:r>
          </w:p>
          <w:p w:rsidR="006A4D59" w:rsidRPr="0067008A" w:rsidRDefault="00921711" w:rsidP="00677E33">
            <w:pPr>
              <w:spacing w:after="240" w:line="360" w:lineRule="auto"/>
              <w:ind w:left="1080" w:hanging="360"/>
              <w:jc w:val="both"/>
              <w:rPr>
                <w:rFonts w:ascii="Times New Roman" w:hAnsi="Times New Roman" w:cs="Times New Roman"/>
                <w:b/>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b/>
              </w:rPr>
              <w:t>Estado: DISUELTA</w:t>
            </w:r>
          </w:p>
        </w:tc>
      </w:tr>
      <w:tr w:rsidR="006A4D59" w:rsidRPr="0067008A">
        <w:trPr>
          <w:trHeight w:val="4565"/>
        </w:trPr>
        <w:tc>
          <w:tcPr>
            <w:tcW w:w="1655" w:type="dxa"/>
            <w:vMerge/>
            <w:shd w:val="clear" w:color="auto" w:fill="auto"/>
          </w:tcPr>
          <w:p w:rsidR="006A4D59" w:rsidRPr="0067008A" w:rsidRDefault="006A4D59" w:rsidP="00677E33">
            <w:pPr>
              <w:spacing w:after="240" w:line="360" w:lineRule="auto"/>
              <w:jc w:val="both"/>
              <w:rPr>
                <w:rFonts w:ascii="Times New Roman" w:hAnsi="Times New Roman" w:cs="Times New Roman"/>
              </w:rPr>
            </w:pPr>
          </w:p>
        </w:tc>
        <w:tc>
          <w:tcPr>
            <w:tcW w:w="1655" w:type="dxa"/>
            <w:shd w:val="clear" w:color="auto" w:fill="E6E6E6"/>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Fundación DA VINCI</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 </w:t>
            </w:r>
          </w:p>
        </w:tc>
        <w:tc>
          <w:tcPr>
            <w:tcW w:w="5715" w:type="dxa"/>
            <w:shd w:val="clear" w:color="auto" w:fill="E6E6E6"/>
          </w:tcPr>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fecha: 2015-SEP-05.</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Info ICIJ:</w:t>
            </w:r>
            <w:r w:rsidR="00677E33" w:rsidRPr="0067008A">
              <w:rPr>
                <w:rFonts w:ascii="Times New Roman" w:hAnsi="Times New Roman" w:cs="Times New Roman"/>
              </w:rPr>
              <w:t xml:space="preserve"> </w:t>
            </w:r>
            <w:r w:rsidRPr="0067008A">
              <w:rPr>
                <w:rFonts w:ascii="Times New Roman" w:hAnsi="Times New Roman" w:cs="Times New Roman"/>
                <w:b/>
              </w:rPr>
              <w:t>los datos son actuales hasta el 2018.</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Proveedor: Alcogal</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Fecha de Registro: 2012-JAN-18.</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Jurisdicción: Panamá.</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Fuente: Papeles de Pandora - Alemán, Cordero, Galindo &amp; Lee (Alcogal).</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Punto de identificación: 2FC3033BEB1EAFB6260ED87B7F452AF1</w:t>
            </w:r>
            <w:r w:rsidR="00677E33" w:rsidRPr="0067008A">
              <w:rPr>
                <w:rFonts w:ascii="Times New Roman" w:hAnsi="Times New Roman" w:cs="Times New Roman"/>
              </w:rPr>
              <w:t xml:space="preserve"> </w:t>
            </w:r>
          </w:p>
          <w:p w:rsidR="006A4D59" w:rsidRPr="0067008A" w:rsidRDefault="00921711" w:rsidP="00677E33">
            <w:pPr>
              <w:spacing w:after="240" w:line="360" w:lineRule="auto"/>
              <w:ind w:left="1080" w:hanging="360"/>
              <w:jc w:val="both"/>
              <w:rPr>
                <w:rFonts w:ascii="Times New Roman" w:hAnsi="Times New Roman" w:cs="Times New Roman"/>
                <w:b/>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b/>
              </w:rPr>
              <w:t>Estado: DISUELTA.</w:t>
            </w:r>
          </w:p>
        </w:tc>
      </w:tr>
      <w:tr w:rsidR="006A4D59" w:rsidRPr="0067008A">
        <w:trPr>
          <w:trHeight w:val="4310"/>
        </w:trPr>
        <w:tc>
          <w:tcPr>
            <w:tcW w:w="1655" w:type="dxa"/>
            <w:vMerge/>
            <w:shd w:val="clear" w:color="auto" w:fill="auto"/>
          </w:tcPr>
          <w:p w:rsidR="006A4D59" w:rsidRPr="0067008A" w:rsidRDefault="006A4D59" w:rsidP="00677E33">
            <w:pPr>
              <w:spacing w:after="240" w:line="360" w:lineRule="auto"/>
              <w:jc w:val="both"/>
              <w:rPr>
                <w:rFonts w:ascii="Times New Roman" w:hAnsi="Times New Roman" w:cs="Times New Roman"/>
              </w:rPr>
            </w:pPr>
          </w:p>
        </w:tc>
        <w:tc>
          <w:tcPr>
            <w:tcW w:w="1655" w:type="dxa"/>
            <w:shd w:val="clear" w:color="auto" w:fill="CCCCCC"/>
          </w:tcPr>
          <w:p w:rsidR="006A4D59" w:rsidRPr="0067008A" w:rsidRDefault="00921711" w:rsidP="00677E33">
            <w:pPr>
              <w:spacing w:after="240" w:line="360" w:lineRule="auto"/>
              <w:jc w:val="both"/>
              <w:rPr>
                <w:rFonts w:ascii="Times New Roman" w:hAnsi="Times New Roman" w:cs="Times New Roman"/>
                <w:vertAlign w:val="superscript"/>
              </w:rPr>
            </w:pPr>
            <w:r w:rsidRPr="0067008A">
              <w:rPr>
                <w:rFonts w:ascii="Times New Roman" w:hAnsi="Times New Roman" w:cs="Times New Roman"/>
              </w:rPr>
              <w:t>Fundación BARBERINI</w:t>
            </w:r>
            <w:r w:rsidRPr="0067008A">
              <w:rPr>
                <w:rFonts w:ascii="Times New Roman" w:hAnsi="Times New Roman" w:cs="Times New Roman"/>
                <w:vertAlign w:val="superscript"/>
              </w:rPr>
              <w:t>[2]</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 </w:t>
            </w:r>
          </w:p>
        </w:tc>
        <w:tc>
          <w:tcPr>
            <w:tcW w:w="5715" w:type="dxa"/>
            <w:shd w:val="clear" w:color="auto" w:fill="CCCCCC"/>
          </w:tcPr>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fecha: 2018-ENE-23.</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Info ICIJ:</w:t>
            </w:r>
            <w:r w:rsidR="00677E33" w:rsidRPr="0067008A">
              <w:rPr>
                <w:rFonts w:ascii="Times New Roman" w:hAnsi="Times New Roman" w:cs="Times New Roman"/>
              </w:rPr>
              <w:t xml:space="preserve"> </w:t>
            </w:r>
            <w:r w:rsidRPr="0067008A">
              <w:rPr>
                <w:rFonts w:ascii="Times New Roman" w:hAnsi="Times New Roman" w:cs="Times New Roman"/>
                <w:b/>
              </w:rPr>
              <w:t>los datos son actuales hasta el 2017</w:t>
            </w:r>
            <w:r w:rsidRPr="0067008A">
              <w:rPr>
                <w:rFonts w:ascii="Times New Roman" w:hAnsi="Times New Roman" w:cs="Times New Roman"/>
              </w:rPr>
              <w:t>.</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Proveedor: Alcogal</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Fecha de Registro: 2011-MAY-05.</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Jurisdicción: Panamá.</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Fuente: Papeles de Pandora - Alemán, Cordero, Galindo &amp; Lee (Alcogal).</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Punto de identificación: D434AE02B2A1BE85D23416199E878524</w:t>
            </w:r>
            <w:r w:rsidR="00677E33" w:rsidRPr="0067008A">
              <w:rPr>
                <w:rFonts w:ascii="Times New Roman" w:hAnsi="Times New Roman" w:cs="Times New Roman"/>
              </w:rPr>
              <w:t xml:space="preserve"> </w:t>
            </w:r>
          </w:p>
          <w:p w:rsidR="006A4D59" w:rsidRPr="0067008A" w:rsidRDefault="00921711" w:rsidP="00677E33">
            <w:pPr>
              <w:spacing w:after="240" w:line="360" w:lineRule="auto"/>
              <w:ind w:left="1080" w:hanging="360"/>
              <w:jc w:val="both"/>
              <w:rPr>
                <w:rFonts w:ascii="Times New Roman" w:hAnsi="Times New Roman" w:cs="Times New Roman"/>
                <w:b/>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b/>
              </w:rPr>
              <w:t>Estado: DISUELTA.</w:t>
            </w:r>
          </w:p>
        </w:tc>
      </w:tr>
      <w:tr w:rsidR="006A4D59" w:rsidRPr="0067008A">
        <w:trPr>
          <w:trHeight w:val="4385"/>
        </w:trPr>
        <w:tc>
          <w:tcPr>
            <w:tcW w:w="1655" w:type="dxa"/>
            <w:vMerge/>
            <w:shd w:val="clear" w:color="auto" w:fill="auto"/>
          </w:tcPr>
          <w:p w:rsidR="006A4D59" w:rsidRPr="0067008A" w:rsidRDefault="006A4D59" w:rsidP="00677E33">
            <w:pPr>
              <w:spacing w:after="240" w:line="360" w:lineRule="auto"/>
              <w:jc w:val="both"/>
              <w:rPr>
                <w:rFonts w:ascii="Times New Roman" w:hAnsi="Times New Roman" w:cs="Times New Roman"/>
              </w:rPr>
            </w:pPr>
          </w:p>
        </w:tc>
        <w:tc>
          <w:tcPr>
            <w:tcW w:w="1655" w:type="dxa"/>
            <w:shd w:val="clear" w:color="auto" w:fill="E6E6E6"/>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Pietro Overseas S.A</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 </w:t>
            </w:r>
          </w:p>
        </w:tc>
        <w:tc>
          <w:tcPr>
            <w:tcW w:w="5715" w:type="dxa"/>
            <w:shd w:val="clear" w:color="auto" w:fill="E6E6E6"/>
          </w:tcPr>
          <w:p w:rsidR="006A4D59" w:rsidRPr="0067008A" w:rsidRDefault="00921711" w:rsidP="00677E33">
            <w:pPr>
              <w:numPr>
                <w:ilvl w:val="0"/>
                <w:numId w:val="12"/>
              </w:numPr>
              <w:spacing w:after="240" w:line="360" w:lineRule="auto"/>
              <w:rPr>
                <w:rFonts w:ascii="Times New Roman" w:hAnsi="Times New Roman" w:cs="Times New Roman"/>
              </w:rPr>
            </w:pPr>
            <w:r w:rsidRPr="0067008A">
              <w:rPr>
                <w:rFonts w:ascii="Times New Roman" w:hAnsi="Times New Roman" w:cs="Times New Roman"/>
              </w:rPr>
              <w:t>fecha: 2020-SEP-14.</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Info ICIJ:</w:t>
            </w:r>
            <w:r w:rsidR="00677E33" w:rsidRPr="0067008A">
              <w:rPr>
                <w:rFonts w:ascii="Times New Roman" w:hAnsi="Times New Roman" w:cs="Times New Roman"/>
              </w:rPr>
              <w:t xml:space="preserve"> </w:t>
            </w:r>
            <w:r w:rsidRPr="0067008A">
              <w:rPr>
                <w:rFonts w:ascii="Times New Roman" w:hAnsi="Times New Roman" w:cs="Times New Roman"/>
                <w:b/>
              </w:rPr>
              <w:t>los datos son actuales hasta el 2017.</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Proveedor: Alcogal</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Fecha de Registro: 2011-MAY-09.</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Jurisdicción: Panamá.</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Fuente: Papeles de Pandora - Alemán, Cordero, Galindo &amp; Lee (Alcogal).</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Punto de identificación: 45EE00D32CF8148AF49FF91AA439D5A4</w:t>
            </w:r>
            <w:r w:rsidR="00677E33" w:rsidRPr="0067008A">
              <w:rPr>
                <w:rFonts w:ascii="Times New Roman" w:hAnsi="Times New Roman" w:cs="Times New Roman"/>
              </w:rPr>
              <w:t xml:space="preserve"> </w:t>
            </w:r>
          </w:p>
          <w:p w:rsidR="006A4D59" w:rsidRPr="0067008A" w:rsidRDefault="00921711" w:rsidP="00677E33">
            <w:pPr>
              <w:spacing w:after="240" w:line="360" w:lineRule="auto"/>
              <w:ind w:left="1080" w:hanging="360"/>
              <w:jc w:val="both"/>
              <w:rPr>
                <w:rFonts w:ascii="Times New Roman" w:hAnsi="Times New Roman" w:cs="Times New Roman"/>
                <w:b/>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b/>
              </w:rPr>
              <w:t>Estado: DISUELTA</w:t>
            </w:r>
          </w:p>
        </w:tc>
      </w:tr>
      <w:tr w:rsidR="006A4D59" w:rsidRPr="0067008A">
        <w:trPr>
          <w:trHeight w:val="4310"/>
        </w:trPr>
        <w:tc>
          <w:tcPr>
            <w:tcW w:w="1655" w:type="dxa"/>
            <w:vMerge w:val="restart"/>
            <w:shd w:val="clear" w:color="auto" w:fill="CCCCCC"/>
          </w:tcPr>
          <w:p w:rsidR="006A4D59" w:rsidRPr="0067008A" w:rsidRDefault="00921711" w:rsidP="00677E33">
            <w:pPr>
              <w:spacing w:after="240" w:line="360" w:lineRule="auto"/>
              <w:jc w:val="both"/>
              <w:rPr>
                <w:rFonts w:ascii="Times New Roman" w:hAnsi="Times New Roman" w:cs="Times New Roman"/>
                <w:b/>
              </w:rPr>
            </w:pPr>
            <w:r w:rsidRPr="0067008A">
              <w:rPr>
                <w:rFonts w:ascii="Times New Roman" w:hAnsi="Times New Roman" w:cs="Times New Roman"/>
                <w:b/>
              </w:rPr>
              <w:t>Accionista</w:t>
            </w:r>
          </w:p>
        </w:tc>
        <w:tc>
          <w:tcPr>
            <w:tcW w:w="1655" w:type="dxa"/>
            <w:shd w:val="clear" w:color="auto" w:fill="CCCCCC"/>
          </w:tcPr>
          <w:p w:rsidR="006A4D59" w:rsidRPr="0067008A" w:rsidRDefault="00921711" w:rsidP="00677E33">
            <w:pPr>
              <w:spacing w:after="240" w:line="360" w:lineRule="auto"/>
              <w:jc w:val="both"/>
              <w:rPr>
                <w:rFonts w:ascii="Times New Roman" w:hAnsi="Times New Roman" w:cs="Times New Roman"/>
                <w:vertAlign w:val="superscript"/>
              </w:rPr>
            </w:pPr>
            <w:r w:rsidRPr="0067008A">
              <w:rPr>
                <w:rFonts w:ascii="Times New Roman" w:hAnsi="Times New Roman" w:cs="Times New Roman"/>
              </w:rPr>
              <w:t>Corporación de Inversión Grupo Nora</w:t>
            </w:r>
            <w:r w:rsidRPr="0067008A">
              <w:rPr>
                <w:rFonts w:ascii="Times New Roman" w:hAnsi="Times New Roman" w:cs="Times New Roman"/>
                <w:vertAlign w:val="superscript"/>
              </w:rPr>
              <w:t>[3]</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 </w:t>
            </w:r>
          </w:p>
        </w:tc>
        <w:tc>
          <w:tcPr>
            <w:tcW w:w="5715" w:type="dxa"/>
            <w:shd w:val="clear" w:color="auto" w:fill="CCCCCC"/>
          </w:tcPr>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fecha: 2018-ENE-22.</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Info ICIJ:</w:t>
            </w:r>
            <w:r w:rsidR="00677E33" w:rsidRPr="0067008A">
              <w:rPr>
                <w:rFonts w:ascii="Times New Roman" w:hAnsi="Times New Roman" w:cs="Times New Roman"/>
              </w:rPr>
              <w:t xml:space="preserve"> </w:t>
            </w:r>
            <w:r w:rsidRPr="0067008A">
              <w:rPr>
                <w:rFonts w:ascii="Times New Roman" w:hAnsi="Times New Roman" w:cs="Times New Roman"/>
                <w:b/>
              </w:rPr>
              <w:t>los datos son actuales hasta el 2018.</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Proveedor: Alcogal</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Fecha de Registro: 2011-MAY-19.</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Jurisdicción: Panamá.</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Fuente: Papeles de Pandora - Alemán, Cordero, Galindo &amp; Lee (Alcogal).</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Punto de identificación: A9179D0378F518120992AB62C84EEC8B</w:t>
            </w:r>
            <w:r w:rsidR="00677E33" w:rsidRPr="0067008A">
              <w:rPr>
                <w:rFonts w:ascii="Times New Roman" w:hAnsi="Times New Roman" w:cs="Times New Roman"/>
              </w:rPr>
              <w:t xml:space="preserve"> </w:t>
            </w:r>
          </w:p>
          <w:p w:rsidR="006A4D59" w:rsidRPr="0067008A" w:rsidRDefault="00921711" w:rsidP="00677E33">
            <w:pPr>
              <w:spacing w:after="240" w:line="360" w:lineRule="auto"/>
              <w:ind w:left="1080" w:hanging="360"/>
              <w:jc w:val="both"/>
              <w:rPr>
                <w:rFonts w:ascii="Times New Roman" w:hAnsi="Times New Roman" w:cs="Times New Roman"/>
                <w:b/>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b/>
              </w:rPr>
              <w:t>Estado: DISUELTA</w:t>
            </w:r>
          </w:p>
        </w:tc>
      </w:tr>
      <w:tr w:rsidR="006A4D59" w:rsidRPr="0067008A">
        <w:trPr>
          <w:trHeight w:val="4310"/>
        </w:trPr>
        <w:tc>
          <w:tcPr>
            <w:tcW w:w="1655" w:type="dxa"/>
            <w:vMerge/>
            <w:shd w:val="clear" w:color="auto" w:fill="auto"/>
          </w:tcPr>
          <w:p w:rsidR="006A4D59" w:rsidRPr="0067008A" w:rsidRDefault="006A4D59" w:rsidP="00677E33">
            <w:pPr>
              <w:spacing w:after="240" w:line="360" w:lineRule="auto"/>
              <w:jc w:val="both"/>
              <w:rPr>
                <w:rFonts w:ascii="Times New Roman" w:hAnsi="Times New Roman" w:cs="Times New Roman"/>
              </w:rPr>
            </w:pPr>
          </w:p>
        </w:tc>
        <w:tc>
          <w:tcPr>
            <w:tcW w:w="1655" w:type="dxa"/>
            <w:shd w:val="clear" w:color="auto" w:fill="E6E6E6"/>
          </w:tcPr>
          <w:p w:rsidR="006A4D59" w:rsidRPr="0067008A" w:rsidRDefault="00921711" w:rsidP="00677E33">
            <w:pPr>
              <w:spacing w:after="240" w:line="360" w:lineRule="auto"/>
              <w:jc w:val="both"/>
              <w:rPr>
                <w:rFonts w:ascii="Times New Roman" w:hAnsi="Times New Roman" w:cs="Times New Roman"/>
                <w:vertAlign w:val="superscript"/>
              </w:rPr>
            </w:pPr>
            <w:r w:rsidRPr="0067008A">
              <w:rPr>
                <w:rFonts w:ascii="Times New Roman" w:hAnsi="Times New Roman" w:cs="Times New Roman"/>
              </w:rPr>
              <w:t>Fundación BERNINI</w:t>
            </w:r>
            <w:r w:rsidRPr="0067008A">
              <w:rPr>
                <w:rFonts w:ascii="Times New Roman" w:hAnsi="Times New Roman" w:cs="Times New Roman"/>
                <w:vertAlign w:val="superscript"/>
              </w:rPr>
              <w:t>[4]</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 </w:t>
            </w:r>
          </w:p>
        </w:tc>
        <w:tc>
          <w:tcPr>
            <w:tcW w:w="5715" w:type="dxa"/>
            <w:shd w:val="clear" w:color="auto" w:fill="E6E6E6"/>
          </w:tcPr>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 xml:space="preserve">fecha:2020-JUL-01.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Info ICIJ</w:t>
            </w:r>
            <w:r w:rsidRPr="0067008A">
              <w:rPr>
                <w:rFonts w:ascii="Times New Roman" w:hAnsi="Times New Roman" w:cs="Times New Roman"/>
                <w:b/>
              </w:rPr>
              <w:t>:</w:t>
            </w:r>
            <w:r w:rsidR="00677E33" w:rsidRPr="0067008A">
              <w:rPr>
                <w:rFonts w:ascii="Times New Roman" w:hAnsi="Times New Roman" w:cs="Times New Roman"/>
                <w:b/>
              </w:rPr>
              <w:t xml:space="preserve"> </w:t>
            </w:r>
            <w:r w:rsidRPr="0067008A">
              <w:rPr>
                <w:rFonts w:ascii="Times New Roman" w:hAnsi="Times New Roman" w:cs="Times New Roman"/>
                <w:b/>
              </w:rPr>
              <w:t>los datos son actuales hasta el 2008.</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Proveedor: Alcogal</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Fecha de Registro: 2008-JUN-04.</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Jurisdicción: Panamá.</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Fuente: Papeles de Pandora - Alemán, Cordero, Galindo &amp; Lee (Alcogal).</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Punto de identificación: 7EF448F0ADB95740BFD4E28C28275261</w:t>
            </w:r>
            <w:r w:rsidR="00677E33" w:rsidRPr="0067008A">
              <w:rPr>
                <w:rFonts w:ascii="Times New Roman" w:hAnsi="Times New Roman" w:cs="Times New Roman"/>
              </w:rPr>
              <w:t xml:space="preserve"> </w:t>
            </w:r>
          </w:p>
          <w:p w:rsidR="006A4D59" w:rsidRPr="0067008A" w:rsidRDefault="00921711" w:rsidP="00677E33">
            <w:pPr>
              <w:spacing w:after="240" w:line="360" w:lineRule="auto"/>
              <w:ind w:left="1080" w:hanging="360"/>
              <w:jc w:val="both"/>
              <w:rPr>
                <w:rFonts w:ascii="Times New Roman" w:hAnsi="Times New Roman" w:cs="Times New Roman"/>
                <w:b/>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b/>
              </w:rPr>
              <w:t>Estado: DISUELTA</w:t>
            </w:r>
          </w:p>
        </w:tc>
      </w:tr>
      <w:tr w:rsidR="006A4D59" w:rsidRPr="0067008A">
        <w:trPr>
          <w:trHeight w:val="4310"/>
        </w:trPr>
        <w:tc>
          <w:tcPr>
            <w:tcW w:w="1655" w:type="dxa"/>
            <w:shd w:val="clear" w:color="auto" w:fill="CCCCCC"/>
          </w:tcPr>
          <w:p w:rsidR="006A4D59" w:rsidRPr="0067008A" w:rsidRDefault="00921711" w:rsidP="00677E33">
            <w:pPr>
              <w:spacing w:after="240" w:line="360" w:lineRule="auto"/>
              <w:jc w:val="both"/>
              <w:rPr>
                <w:rFonts w:ascii="Times New Roman" w:hAnsi="Times New Roman" w:cs="Times New Roman"/>
                <w:b/>
              </w:rPr>
            </w:pPr>
            <w:r w:rsidRPr="0067008A">
              <w:rPr>
                <w:rFonts w:ascii="Times New Roman" w:hAnsi="Times New Roman" w:cs="Times New Roman"/>
                <w:b/>
              </w:rPr>
              <w:t>Director, Administrador</w:t>
            </w:r>
          </w:p>
        </w:tc>
        <w:tc>
          <w:tcPr>
            <w:tcW w:w="1655" w:type="dxa"/>
            <w:shd w:val="clear" w:color="auto" w:fill="CCCCCC"/>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POSITANO TRADE LLC</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 </w:t>
            </w:r>
          </w:p>
        </w:tc>
        <w:tc>
          <w:tcPr>
            <w:tcW w:w="5715" w:type="dxa"/>
            <w:shd w:val="clear" w:color="auto" w:fill="CCCCCC"/>
          </w:tcPr>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fecha: 2015-Oct-15.</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Info ICIJ:</w:t>
            </w:r>
            <w:r w:rsidR="00677E33" w:rsidRPr="0067008A">
              <w:rPr>
                <w:rFonts w:ascii="Times New Roman" w:hAnsi="Times New Roman" w:cs="Times New Roman"/>
              </w:rPr>
              <w:t xml:space="preserve"> </w:t>
            </w:r>
            <w:r w:rsidRPr="0067008A">
              <w:rPr>
                <w:rFonts w:ascii="Times New Roman" w:hAnsi="Times New Roman" w:cs="Times New Roman"/>
                <w:b/>
              </w:rPr>
              <w:t>los datos son actuales hasta el 2013.</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Proveedor: Alcogal</w:t>
            </w:r>
            <w:r w:rsidR="00677E33" w:rsidRPr="0067008A">
              <w:rPr>
                <w:rFonts w:ascii="Times New Roman" w:hAnsi="Times New Roman" w:cs="Times New Roman"/>
              </w:rPr>
              <w:t xml:space="preserve"> </w:t>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Fecha de Registro: 2012-Enero-19.</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 xml:space="preserve">Jurisdicción: Estados Unidos (DELAWARE).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Fuente: Papeles de Pandora - Alemán, Cordero, Galindo &amp; Lee (Alcogal).</w:t>
            </w:r>
            <w:r w:rsidR="00677E33" w:rsidRPr="0067008A">
              <w:rPr>
                <w:rFonts w:ascii="Times New Roman" w:hAnsi="Times New Roman" w:cs="Times New Roman"/>
              </w:rPr>
              <w:t xml:space="preserve"> </w:t>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Punto de identificación: 0E1FDD280C84D101E00A4FDA0778D94.</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b/>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b/>
              </w:rPr>
              <w:t>Estado: DISUELTA.</w:t>
            </w:r>
          </w:p>
        </w:tc>
      </w:tr>
      <w:tr w:rsidR="006A4D59" w:rsidRPr="0067008A">
        <w:trPr>
          <w:trHeight w:val="4310"/>
        </w:trPr>
        <w:tc>
          <w:tcPr>
            <w:tcW w:w="1655" w:type="dxa"/>
            <w:shd w:val="clear" w:color="auto" w:fill="E6E6E6"/>
          </w:tcPr>
          <w:p w:rsidR="006A4D59" w:rsidRPr="0067008A" w:rsidRDefault="00921711" w:rsidP="00677E33">
            <w:pPr>
              <w:spacing w:after="240" w:line="360" w:lineRule="auto"/>
              <w:jc w:val="both"/>
              <w:rPr>
                <w:rFonts w:ascii="Times New Roman" w:hAnsi="Times New Roman" w:cs="Times New Roman"/>
                <w:b/>
              </w:rPr>
            </w:pPr>
            <w:r w:rsidRPr="0067008A">
              <w:rPr>
                <w:rFonts w:ascii="Times New Roman" w:hAnsi="Times New Roman" w:cs="Times New Roman"/>
                <w:b/>
              </w:rPr>
              <w:t>Agente de Poder</w:t>
            </w:r>
          </w:p>
          <w:p w:rsidR="006A4D59" w:rsidRPr="0067008A" w:rsidRDefault="00921711" w:rsidP="00677E33">
            <w:pPr>
              <w:spacing w:after="240" w:line="360" w:lineRule="auto"/>
              <w:jc w:val="both"/>
              <w:rPr>
                <w:rFonts w:ascii="Times New Roman" w:hAnsi="Times New Roman" w:cs="Times New Roman"/>
                <w:b/>
              </w:rPr>
            </w:pPr>
            <w:r w:rsidRPr="0067008A">
              <w:rPr>
                <w:rFonts w:ascii="Times New Roman" w:hAnsi="Times New Roman" w:cs="Times New Roman"/>
                <w:b/>
              </w:rPr>
              <w:t xml:space="preserve"> </w:t>
            </w:r>
          </w:p>
        </w:tc>
        <w:tc>
          <w:tcPr>
            <w:tcW w:w="1655" w:type="dxa"/>
            <w:shd w:val="clear" w:color="auto" w:fill="E6E6E6"/>
          </w:tcPr>
          <w:p w:rsidR="006A4D59" w:rsidRPr="0067008A" w:rsidRDefault="00921711" w:rsidP="00677E33">
            <w:pPr>
              <w:spacing w:after="240" w:line="360" w:lineRule="auto"/>
              <w:jc w:val="both"/>
              <w:rPr>
                <w:rFonts w:ascii="Times New Roman" w:hAnsi="Times New Roman" w:cs="Times New Roman"/>
                <w:vertAlign w:val="superscript"/>
              </w:rPr>
            </w:pPr>
            <w:r w:rsidRPr="0067008A">
              <w:rPr>
                <w:rFonts w:ascii="Times New Roman" w:hAnsi="Times New Roman" w:cs="Times New Roman"/>
              </w:rPr>
              <w:t>Bretten Holdings INC</w:t>
            </w:r>
            <w:r w:rsidRPr="0067008A">
              <w:rPr>
                <w:rFonts w:ascii="Times New Roman" w:hAnsi="Times New Roman" w:cs="Times New Roman"/>
                <w:vertAlign w:val="superscript"/>
              </w:rPr>
              <w:t>[5]</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 </w:t>
            </w:r>
          </w:p>
        </w:tc>
        <w:tc>
          <w:tcPr>
            <w:tcW w:w="5715" w:type="dxa"/>
            <w:shd w:val="clear" w:color="auto" w:fill="E6E6E6"/>
          </w:tcPr>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fecha: 2020-JUL-02.</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Info ICIJ:</w:t>
            </w:r>
            <w:r w:rsidR="00677E33" w:rsidRPr="0067008A">
              <w:rPr>
                <w:rFonts w:ascii="Times New Roman" w:hAnsi="Times New Roman" w:cs="Times New Roman"/>
              </w:rPr>
              <w:t xml:space="preserve"> </w:t>
            </w:r>
            <w:r w:rsidRPr="0067008A">
              <w:rPr>
                <w:rFonts w:ascii="Times New Roman" w:hAnsi="Times New Roman" w:cs="Times New Roman"/>
                <w:b/>
              </w:rPr>
              <w:t>los datos son actuales hasta el 2009.</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Proveedor: Alcogal</w:t>
            </w:r>
            <w:r w:rsidRPr="0067008A">
              <w:rPr>
                <w:rFonts w:ascii="Times New Roman" w:hAnsi="Times New Roman" w:cs="Times New Roman"/>
              </w:rPr>
              <w:tab/>
            </w:r>
            <w:r w:rsidR="00677E33" w:rsidRPr="0067008A">
              <w:rPr>
                <w:rFonts w:ascii="Times New Roman" w:hAnsi="Times New Roman" w:cs="Times New Roman"/>
              </w:rPr>
              <w:t xml:space="preserve"> </w:t>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Fecha de Registro: 1999-SEP-30.</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Jurisdicción: Panamá.</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Fuente: Papeles de Pandora - Alemán, Cordero, Galindo &amp; Lee (Alcogal).</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Punto de identificación: 87BE49B242C0A9EBD1760F6A36F5D2A5</w:t>
            </w:r>
            <w:r w:rsidR="00677E33" w:rsidRPr="0067008A">
              <w:rPr>
                <w:rFonts w:ascii="Times New Roman" w:hAnsi="Times New Roman" w:cs="Times New Roman"/>
              </w:rPr>
              <w:t xml:space="preserve"> </w:t>
            </w:r>
          </w:p>
          <w:p w:rsidR="006A4D59" w:rsidRPr="0067008A" w:rsidRDefault="00921711" w:rsidP="00677E33">
            <w:pPr>
              <w:spacing w:after="240" w:line="360" w:lineRule="auto"/>
              <w:ind w:left="1080" w:hanging="360"/>
              <w:jc w:val="both"/>
              <w:rPr>
                <w:rFonts w:ascii="Times New Roman" w:hAnsi="Times New Roman" w:cs="Times New Roman"/>
                <w:b/>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b/>
              </w:rPr>
              <w:t>Estado: DISUELTA.</w:t>
            </w:r>
          </w:p>
        </w:tc>
      </w:tr>
      <w:tr w:rsidR="006A4D59" w:rsidRPr="0067008A">
        <w:trPr>
          <w:trHeight w:val="4310"/>
        </w:trPr>
        <w:tc>
          <w:tcPr>
            <w:tcW w:w="1655" w:type="dxa"/>
            <w:shd w:val="clear" w:color="auto" w:fill="CCCCCC"/>
          </w:tcPr>
          <w:p w:rsidR="006A4D59" w:rsidRPr="0067008A" w:rsidRDefault="00921711" w:rsidP="00677E33">
            <w:pPr>
              <w:spacing w:after="240" w:line="360" w:lineRule="auto"/>
              <w:jc w:val="both"/>
              <w:rPr>
                <w:rFonts w:ascii="Times New Roman" w:hAnsi="Times New Roman" w:cs="Times New Roman"/>
                <w:b/>
              </w:rPr>
            </w:pPr>
            <w:r w:rsidRPr="0067008A">
              <w:rPr>
                <w:rFonts w:ascii="Times New Roman" w:hAnsi="Times New Roman" w:cs="Times New Roman"/>
                <w:b/>
              </w:rPr>
              <w:t>Dueño Beneficiario</w:t>
            </w:r>
          </w:p>
        </w:tc>
        <w:tc>
          <w:tcPr>
            <w:tcW w:w="1655" w:type="dxa"/>
            <w:shd w:val="clear" w:color="auto" w:fill="CCCCCC"/>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Fundación Bienes Raíces</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 </w:t>
            </w:r>
          </w:p>
        </w:tc>
        <w:tc>
          <w:tcPr>
            <w:tcW w:w="5715" w:type="dxa"/>
            <w:shd w:val="clear" w:color="auto" w:fill="CCCCCC"/>
          </w:tcPr>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fecha: 2015-Oct-15.</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Info ICIJ:</w:t>
            </w:r>
            <w:r w:rsidR="00677E33" w:rsidRPr="0067008A">
              <w:rPr>
                <w:rFonts w:ascii="Times New Roman" w:hAnsi="Times New Roman" w:cs="Times New Roman"/>
              </w:rPr>
              <w:t xml:space="preserve"> </w:t>
            </w:r>
            <w:r w:rsidRPr="0067008A">
              <w:rPr>
                <w:rFonts w:ascii="Times New Roman" w:hAnsi="Times New Roman" w:cs="Times New Roman"/>
              </w:rPr>
              <w:t>los datos son actuales hasta el 2013.</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Proveedor: Alcogal</w:t>
            </w:r>
            <w:r w:rsidR="00677E33" w:rsidRPr="0067008A">
              <w:rPr>
                <w:rFonts w:ascii="Times New Roman" w:hAnsi="Times New Roman" w:cs="Times New Roman"/>
              </w:rPr>
              <w:t xml:space="preserve"> </w:t>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Fecha de Registro: 2012-Enero-19.</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 xml:space="preserve">Jurisdicción: Estados Unidos (DELAWARE).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Fuente: Papeles de Pandora - Alemán, Cordero, Galindo &amp; Lee (Alcogal).</w:t>
            </w:r>
            <w:r w:rsidR="00677E33" w:rsidRPr="0067008A">
              <w:rPr>
                <w:rFonts w:ascii="Times New Roman" w:hAnsi="Times New Roman" w:cs="Times New Roman"/>
              </w:rPr>
              <w:t xml:space="preserve"> </w:t>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Punto de identificación: 0E1FDD280C84D101E00A4FDA0778D94</w:t>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Estado: DISUELTA</w:t>
            </w:r>
          </w:p>
        </w:tc>
      </w:tr>
      <w:tr w:rsidR="006A4D59" w:rsidRPr="0067008A">
        <w:trPr>
          <w:trHeight w:val="4145"/>
        </w:trPr>
        <w:tc>
          <w:tcPr>
            <w:tcW w:w="1655" w:type="dxa"/>
            <w:shd w:val="clear" w:color="auto" w:fill="E6E6E6"/>
          </w:tcPr>
          <w:p w:rsidR="006A4D59" w:rsidRPr="0067008A" w:rsidRDefault="00921711" w:rsidP="00677E33">
            <w:pPr>
              <w:spacing w:after="240" w:line="360" w:lineRule="auto"/>
              <w:jc w:val="both"/>
              <w:rPr>
                <w:rFonts w:ascii="Times New Roman" w:hAnsi="Times New Roman" w:cs="Times New Roman"/>
                <w:b/>
              </w:rPr>
            </w:pPr>
            <w:r w:rsidRPr="0067008A">
              <w:rPr>
                <w:rFonts w:ascii="Times New Roman" w:hAnsi="Times New Roman" w:cs="Times New Roman"/>
                <w:b/>
              </w:rPr>
              <w:t>Vinculado</w:t>
            </w:r>
          </w:p>
        </w:tc>
        <w:tc>
          <w:tcPr>
            <w:tcW w:w="1655" w:type="dxa"/>
            <w:shd w:val="clear" w:color="auto" w:fill="E6E6E6"/>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Bretten Trust</w:t>
            </w:r>
          </w:p>
        </w:tc>
        <w:tc>
          <w:tcPr>
            <w:tcW w:w="5715" w:type="dxa"/>
            <w:shd w:val="clear" w:color="auto" w:fill="E6E6E6"/>
          </w:tcPr>
          <w:p w:rsidR="006A4D59" w:rsidRPr="0067008A" w:rsidRDefault="00921711" w:rsidP="00677E33">
            <w:pPr>
              <w:spacing w:after="240" w:line="360" w:lineRule="auto"/>
              <w:ind w:left="1080" w:hanging="360"/>
              <w:jc w:val="both"/>
              <w:rPr>
                <w:rFonts w:ascii="Times New Roman" w:hAnsi="Times New Roman" w:cs="Times New Roman"/>
                <w:b/>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Info ICIJ:</w:t>
            </w:r>
            <w:r w:rsidR="00677E33" w:rsidRPr="0067008A">
              <w:rPr>
                <w:rFonts w:ascii="Times New Roman" w:hAnsi="Times New Roman" w:cs="Times New Roman"/>
              </w:rPr>
              <w:t xml:space="preserve"> </w:t>
            </w:r>
            <w:r w:rsidRPr="0067008A">
              <w:rPr>
                <w:rFonts w:ascii="Times New Roman" w:hAnsi="Times New Roman" w:cs="Times New Roman"/>
                <w:b/>
              </w:rPr>
              <w:t>los datos son actuales hasta el 2017.</w:t>
            </w:r>
            <w:r w:rsidR="00677E33" w:rsidRPr="0067008A">
              <w:rPr>
                <w:rFonts w:ascii="Times New Roman" w:hAnsi="Times New Roman" w:cs="Times New Roman"/>
                <w:b/>
              </w:rPr>
              <w:t xml:space="preserve"> </w:t>
            </w:r>
            <w:r w:rsidRPr="0067008A">
              <w:rPr>
                <w:rFonts w:ascii="Times New Roman" w:hAnsi="Times New Roman" w:cs="Times New Roman"/>
                <w:b/>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Proveedor: Alcogal</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Fecha de Registro: 07-DIC-2017.</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Jurisdicción: Estados Unidos (Dakota del Sur)</w:t>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Fuente: Papeles de Pandora - Alemán, Cordero,</w:t>
            </w:r>
            <w:r w:rsidR="00677E33" w:rsidRPr="0067008A">
              <w:rPr>
                <w:rFonts w:ascii="Times New Roman" w:hAnsi="Times New Roman" w:cs="Times New Roman"/>
              </w:rPr>
              <w:t xml:space="preserve"> </w:t>
            </w:r>
            <w:r w:rsidRPr="0067008A">
              <w:rPr>
                <w:rFonts w:ascii="Times New Roman" w:hAnsi="Times New Roman" w:cs="Times New Roman"/>
              </w:rPr>
              <w:t>Galindo &amp; Lee (Alcogal).</w:t>
            </w:r>
            <w:r w:rsidR="00677E33" w:rsidRPr="0067008A">
              <w:rPr>
                <w:rFonts w:ascii="Times New Roman" w:hAnsi="Times New Roman" w:cs="Times New Roman"/>
              </w:rPr>
              <w:t xml:space="preserve"> </w:t>
            </w:r>
            <w:r w:rsidRPr="0067008A">
              <w:rPr>
                <w:rFonts w:ascii="Times New Roman" w:hAnsi="Times New Roman" w:cs="Times New Roman"/>
              </w:rPr>
              <w:tab/>
            </w:r>
          </w:p>
          <w:p w:rsidR="006A4D59" w:rsidRPr="0067008A" w:rsidRDefault="00921711" w:rsidP="00677E33">
            <w:pPr>
              <w:spacing w:after="240" w:line="360" w:lineRule="auto"/>
              <w:ind w:left="1080" w:hanging="360"/>
              <w:jc w:val="both"/>
              <w:rPr>
                <w:rFonts w:ascii="Times New Roman" w:hAnsi="Times New Roman" w:cs="Times New Roman"/>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rPr>
              <w:t>Punto de identificación: C7B2832851F3FEDCC20BA544BB9219A</w:t>
            </w:r>
            <w:r w:rsidR="00677E33" w:rsidRPr="0067008A">
              <w:rPr>
                <w:rFonts w:ascii="Times New Roman" w:hAnsi="Times New Roman" w:cs="Times New Roman"/>
              </w:rPr>
              <w:t xml:space="preserve"> </w:t>
            </w:r>
          </w:p>
          <w:p w:rsidR="006A4D59" w:rsidRPr="0067008A" w:rsidRDefault="00921711" w:rsidP="00677E33">
            <w:pPr>
              <w:spacing w:after="240" w:line="360" w:lineRule="auto"/>
              <w:ind w:left="1080" w:hanging="360"/>
              <w:jc w:val="both"/>
              <w:rPr>
                <w:rFonts w:ascii="Times New Roman" w:hAnsi="Times New Roman" w:cs="Times New Roman"/>
                <w:b/>
              </w:rPr>
            </w:pPr>
            <w:r w:rsidRPr="0067008A">
              <w:rPr>
                <w:rFonts w:ascii="Times New Roman" w:eastAsia="Times New Roman" w:hAnsi="Times New Roman" w:cs="Times New Roman"/>
              </w:rPr>
              <w:t>•</w:t>
            </w:r>
            <w:r w:rsidR="00677E33" w:rsidRPr="0067008A">
              <w:rPr>
                <w:rFonts w:ascii="Times New Roman" w:eastAsia="Times New Roman" w:hAnsi="Times New Roman" w:cs="Times New Roman"/>
              </w:rPr>
              <w:t xml:space="preserve"> </w:t>
            </w:r>
            <w:r w:rsidRPr="0067008A">
              <w:rPr>
                <w:rFonts w:ascii="Times New Roman" w:hAnsi="Times New Roman" w:cs="Times New Roman"/>
                <w:b/>
              </w:rPr>
              <w:t>Estado: Información no disponible en el expediente</w:t>
            </w:r>
          </w:p>
        </w:tc>
      </w:tr>
    </w:tbl>
    <w:p w:rsidR="006A4D59" w:rsidRPr="0067008A" w:rsidRDefault="00921711" w:rsidP="00677E33">
      <w:pPr>
        <w:spacing w:after="240" w:line="360" w:lineRule="auto"/>
        <w:jc w:val="both"/>
        <w:rPr>
          <w:rFonts w:ascii="Times New Roman" w:hAnsi="Times New Roman" w:cs="Times New Roman"/>
        </w:rPr>
      </w:pPr>
      <w:r w:rsidRPr="0067008A">
        <w:rPr>
          <w:rFonts w:ascii="Times New Roman" w:eastAsia="Times New Roman" w:hAnsi="Times New Roman" w:cs="Times New Roman"/>
        </w:rPr>
        <w:t>[1]</w:t>
      </w:r>
      <w:r w:rsidRPr="0067008A">
        <w:rPr>
          <w:rFonts w:ascii="Times New Roman" w:hAnsi="Times New Roman" w:cs="Times New Roman"/>
        </w:rPr>
        <w:t xml:space="preserve"> La información original se encontraba en idioma inglés. La traducción fue realizada por la Comisión Especializada Permanente de Garantías Constitucionales, Derechos Humanos, Derechos Colectivos y la Interculturalidad.</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eastAsia="Times New Roman" w:hAnsi="Times New Roman" w:cs="Times New Roman"/>
        </w:rPr>
        <w:t>[2]</w:t>
      </w:r>
      <w:r w:rsidRPr="0067008A">
        <w:rPr>
          <w:rFonts w:ascii="Times New Roman" w:hAnsi="Times New Roman" w:cs="Times New Roman"/>
        </w:rPr>
        <w:t xml:space="preserve"> Las acciones que Barberini Foundation tenía en la compañía Nora Group Investment Corp. fueron al fideicomiso Liberty Trust.</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eastAsia="Times New Roman" w:hAnsi="Times New Roman" w:cs="Times New Roman"/>
        </w:rPr>
        <w:t>[3]</w:t>
      </w:r>
      <w:r w:rsidRPr="0067008A">
        <w:rPr>
          <w:rFonts w:ascii="Times New Roman" w:hAnsi="Times New Roman" w:cs="Times New Roman"/>
        </w:rPr>
        <w:t xml:space="preserve"> Los </w:t>
      </w:r>
      <w:r w:rsidRPr="0067008A">
        <w:rPr>
          <w:rFonts w:ascii="Times New Roman" w:hAnsi="Times New Roman" w:cs="Times New Roman"/>
          <w:b/>
        </w:rPr>
        <w:t xml:space="preserve">activos </w:t>
      </w:r>
      <w:r w:rsidRPr="0067008A">
        <w:rPr>
          <w:rFonts w:ascii="Times New Roman" w:hAnsi="Times New Roman" w:cs="Times New Roman"/>
        </w:rPr>
        <w:t>de Nora Group Investment Corp. fueron transferidos a la empresa canadiense Liberty Holdings LP, perteneciente también al fideicomiso Liberty Trust.</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eastAsia="Times New Roman" w:hAnsi="Times New Roman" w:cs="Times New Roman"/>
        </w:rPr>
        <w:t>[4]</w:t>
      </w:r>
      <w:r w:rsidRPr="0067008A">
        <w:rPr>
          <w:rFonts w:ascii="Times New Roman" w:hAnsi="Times New Roman" w:cs="Times New Roman"/>
        </w:rPr>
        <w:t xml:space="preserve"> Las </w:t>
      </w:r>
      <w:r w:rsidRPr="0067008A">
        <w:rPr>
          <w:rFonts w:ascii="Times New Roman" w:hAnsi="Times New Roman" w:cs="Times New Roman"/>
          <w:b/>
        </w:rPr>
        <w:t>acciones</w:t>
      </w:r>
      <w:r w:rsidRPr="0067008A">
        <w:rPr>
          <w:rFonts w:ascii="Times New Roman" w:hAnsi="Times New Roman" w:cs="Times New Roman"/>
        </w:rPr>
        <w:t xml:space="preserve"> que Bernini Foundation tenía en la compañía Bretten Holdings Inc fueron al fideicomiso Bretten Trust.</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eastAsia="Times New Roman" w:hAnsi="Times New Roman" w:cs="Times New Roman"/>
        </w:rPr>
        <w:t>[5]</w:t>
      </w:r>
      <w:r w:rsidRPr="0067008A">
        <w:rPr>
          <w:rFonts w:ascii="Times New Roman" w:hAnsi="Times New Roman" w:cs="Times New Roman"/>
        </w:rPr>
        <w:t xml:space="preserve"> El fideicomiso Bretten Trust recibió las acciones que Bernini Foundation tenía en la compañía Bretten Holdings Inc.</w:t>
      </w:r>
    </w:p>
    <w:p w:rsidR="006A4D59" w:rsidRPr="0067008A" w:rsidRDefault="00921711" w:rsidP="0024568C">
      <w:pPr>
        <w:pStyle w:val="Prrafodelista"/>
        <w:numPr>
          <w:ilvl w:val="0"/>
          <w:numId w:val="39"/>
        </w:numPr>
        <w:spacing w:after="240" w:line="360" w:lineRule="auto"/>
        <w:jc w:val="both"/>
      </w:pPr>
      <w:r w:rsidRPr="0067008A">
        <w:rPr>
          <w:b/>
        </w:rPr>
        <w:t>Información de las comparecencias</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Con la información antes obtenida de ICIJ, la Comisión Especializada Permanente de Garantías Constitucionales, Derechos Humanos, Derechos Colectivos y la Interculturalidad, solicitó a Emilia Díaz-Struk, mediante oficio Nro. AN-CGCDHCI-2021-0081-O de 16 de octubre de 2021, participar a la Sesión Ordinaria Nro. 033 a llevarse a cabo el 18 de octubre de 2021, para proporcionar información con relación a la investigación denominada “Pandora Papers”, y vinculación de la misma con el Primer Mandatario del Ecuador.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Al respecto, Emilia Díaz-Struck, editora investigadora localizada en Venezuela de ICIJ, indicó a la Comisión que la información solicitada se encuentra en la página web de ICIJ</w:t>
      </w:r>
      <w:r w:rsidR="00677E33" w:rsidRPr="0067008A">
        <w:rPr>
          <w:rFonts w:ascii="Times New Roman" w:hAnsi="Times New Roman" w:cs="Times New Roman"/>
        </w:rPr>
        <w:t xml:space="preserve"> </w:t>
      </w:r>
      <w:r w:rsidRPr="0067008A">
        <w:rPr>
          <w:rFonts w:ascii="Times New Roman" w:hAnsi="Times New Roman" w:cs="Times New Roman"/>
        </w:rPr>
        <w:t xml:space="preserve">y en las publicaciones del diario El Universo, medio que formó parte de la alianza periodística que hizo la investigación. Además mencionó que los periodistas Mónica Almeida y Paúl Mena del diario El Universo llevaron a cabo la investigación periodística de los Pandora Papers relacionada con Ecuador.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Por otro lado, la Comisión Especializada Permanente de Garantías Constitucionales, Derechos Humanos, Derechos Colectivos y la Interculturalidad convocó, mediante oficio Nro. AN-CGCDHCI-2021-00830-O de 16 de octubre de 2021,</w:t>
      </w:r>
      <w:r w:rsidR="00677E33" w:rsidRPr="0067008A">
        <w:rPr>
          <w:rFonts w:ascii="Times New Roman" w:hAnsi="Times New Roman" w:cs="Times New Roman"/>
        </w:rPr>
        <w:t xml:space="preserve"> </w:t>
      </w:r>
      <w:r w:rsidRPr="0067008A">
        <w:rPr>
          <w:rFonts w:ascii="Times New Roman" w:hAnsi="Times New Roman" w:cs="Times New Roman"/>
        </w:rPr>
        <w:t xml:space="preserve">invitó a la Plataforma Periodística para las Américas (CONNECTAS), a comparecer para proporcionar información sobre “Pandora Papers” en el Ecuador. Al respecto, Carlos Eduardo Huertas, Director de CONNECTAS, con sede en Bogotá, informó que “cada aliado local por país es quien tiene la capacidad de suministrar el detalle de la información a partir de lo publicado. En el caso de Ecuador, los periodistas Mónica Almeida y Paul Mena Mena del Diario el Universo han realizado una valiosa serie de publicaciones sobre el tema”.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La Comisión antes mencionada se comunicó con el Diario el Universo, y realizó la convocatoria formal a Carlos Pérez Barriga, mediante oficio Nro. AN-CGCDHCI-2021-0086-O, quien a su vez manifestó no haber participado en la mencionada investigación periodística, liderada por el ICIJ. “En consecuencia, la única información a mi disposición es la ya publicada por Diario El Universo en su edición del día lunes 04 de octubre de 2021, página 4 que también está a disposición del público en el portal web”.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De acuerdo con la publicación titulada “Lasso se deshizo de entidades ‘off shore’ antes de ser candidato”, realizada por los reporteros Mónica Almeida y Paul Mena Mena en el Diario el Universo, se puede relevar la siguiente información:</w:t>
      </w:r>
    </w:p>
    <w:p w:rsidR="006A4D59" w:rsidRPr="0067008A" w:rsidRDefault="00921711" w:rsidP="0024568C">
      <w:pPr>
        <w:pStyle w:val="Prrafodelista"/>
        <w:numPr>
          <w:ilvl w:val="0"/>
          <w:numId w:val="39"/>
        </w:numPr>
        <w:spacing w:after="240" w:line="360" w:lineRule="auto"/>
        <w:jc w:val="both"/>
        <w:rPr>
          <w:b/>
        </w:rPr>
      </w:pPr>
      <w:r w:rsidRPr="0067008A">
        <w:rPr>
          <w:b/>
        </w:rPr>
        <w:t>A nivel internacional</w:t>
      </w:r>
    </w:p>
    <w:p w:rsidR="006A4D59" w:rsidRPr="0067008A" w:rsidRDefault="00921711" w:rsidP="0024568C">
      <w:pPr>
        <w:spacing w:after="240" w:line="360" w:lineRule="auto"/>
        <w:jc w:val="both"/>
        <w:rPr>
          <w:rFonts w:ascii="Times New Roman" w:hAnsi="Times New Roman" w:cs="Times New Roman"/>
        </w:rPr>
      </w:pPr>
      <w:r w:rsidRPr="0067008A">
        <w:rPr>
          <w:rFonts w:ascii="Times New Roman" w:hAnsi="Times New Roman" w:cs="Times New Roman"/>
        </w:rPr>
        <w:t>A finales de 2017, las acciones y activos de entidades panameñas relacionadas con él se transfieran a dos fideicomisos (Bretten Trust y Liberty Trust) que habían sido creados en Dakota del Sur, Estados Unidos, y administrados por Trident Group Trust, un proveedor internacional de servicios societarios.</w:t>
      </w:r>
    </w:p>
    <w:p w:rsidR="006A4D59" w:rsidRPr="0067008A" w:rsidRDefault="00921711" w:rsidP="0024568C">
      <w:pPr>
        <w:spacing w:after="240" w:line="360" w:lineRule="auto"/>
        <w:jc w:val="both"/>
        <w:rPr>
          <w:rFonts w:ascii="Times New Roman" w:hAnsi="Times New Roman" w:cs="Times New Roman"/>
        </w:rPr>
      </w:pPr>
      <w:r w:rsidRPr="0067008A">
        <w:rPr>
          <w:rFonts w:ascii="Times New Roman" w:hAnsi="Times New Roman" w:cs="Times New Roman"/>
        </w:rPr>
        <w:t xml:space="preserve">El fideicomiso Bretten Trust recibió las acciones que Bernini Foundation tenía en la compañía Bretten Holdings Inc. </w:t>
      </w:r>
    </w:p>
    <w:p w:rsidR="006A4D59" w:rsidRPr="0067008A" w:rsidRDefault="00921711" w:rsidP="0030242D">
      <w:pPr>
        <w:spacing w:after="240" w:line="360" w:lineRule="auto"/>
        <w:jc w:val="both"/>
        <w:rPr>
          <w:rFonts w:ascii="Times New Roman" w:hAnsi="Times New Roman" w:cs="Times New Roman"/>
        </w:rPr>
      </w:pPr>
      <w:r w:rsidRPr="0067008A">
        <w:rPr>
          <w:rFonts w:ascii="Times New Roman" w:hAnsi="Times New Roman" w:cs="Times New Roman"/>
        </w:rPr>
        <w:t xml:space="preserve">El fideicomiso Liberty Trust obtuvo las acciones que Barberini Foundation tenía en la compañía Nora Group Investment Corp. Además, los activos de Nora Group Investment Corp. fueron transferidos a la empresa canadiense Liberty Holdings LP, perteneciente también al fideicomiso Liberty Trust. La filtración no detalla de qué bienes se trata. </w:t>
      </w:r>
    </w:p>
    <w:p w:rsidR="006A4D59" w:rsidRPr="0067008A" w:rsidRDefault="00921711" w:rsidP="0030242D">
      <w:pPr>
        <w:spacing w:after="240" w:line="360" w:lineRule="auto"/>
        <w:jc w:val="both"/>
        <w:rPr>
          <w:rFonts w:ascii="Times New Roman" w:hAnsi="Times New Roman" w:cs="Times New Roman"/>
        </w:rPr>
      </w:pPr>
      <w:r w:rsidRPr="0067008A">
        <w:rPr>
          <w:rFonts w:ascii="Times New Roman" w:hAnsi="Times New Roman" w:cs="Times New Roman"/>
        </w:rPr>
        <w:t xml:space="preserve">Las cuatro entidades panameñas, es decir las dos fundaciones (Bernini Foundation y Barberini Foundation y las dos compañías (Nora Group Investment Corp. y Bretten Holdings Inc.) fueron disueltas. </w:t>
      </w:r>
    </w:p>
    <w:p w:rsidR="006A4D59" w:rsidRPr="0067008A" w:rsidRDefault="00921711" w:rsidP="0030242D">
      <w:pPr>
        <w:spacing w:after="240" w:line="360" w:lineRule="auto"/>
        <w:jc w:val="both"/>
        <w:rPr>
          <w:rFonts w:ascii="Times New Roman" w:hAnsi="Times New Roman" w:cs="Times New Roman"/>
        </w:rPr>
      </w:pPr>
      <w:r w:rsidRPr="0067008A">
        <w:rPr>
          <w:rFonts w:ascii="Times New Roman" w:hAnsi="Times New Roman" w:cs="Times New Roman"/>
        </w:rPr>
        <w:t xml:space="preserve">Los activos que estaban en paraísos fiscales panameños quedaron en fideicomisos establecidos en Estados Unidos. La transferencia se realizó a finales de 2017. </w:t>
      </w:r>
    </w:p>
    <w:p w:rsidR="006A4D59" w:rsidRPr="0067008A" w:rsidRDefault="00921711" w:rsidP="0030242D">
      <w:pPr>
        <w:spacing w:after="240" w:line="360" w:lineRule="auto"/>
        <w:jc w:val="both"/>
        <w:rPr>
          <w:rFonts w:ascii="Times New Roman" w:hAnsi="Times New Roman" w:cs="Times New Roman"/>
        </w:rPr>
      </w:pPr>
      <w:r w:rsidRPr="0067008A">
        <w:rPr>
          <w:rFonts w:ascii="Times New Roman" w:hAnsi="Times New Roman" w:cs="Times New Roman"/>
        </w:rPr>
        <w:t xml:space="preserve">De los archivos Pandora Papers no se tiene más información sobre los beneficiarios de estos fideicomisos. </w:t>
      </w:r>
    </w:p>
    <w:p w:rsidR="006A4D59" w:rsidRPr="0067008A" w:rsidRDefault="00921711" w:rsidP="0030242D">
      <w:pPr>
        <w:spacing w:after="240" w:line="360" w:lineRule="auto"/>
        <w:jc w:val="both"/>
        <w:rPr>
          <w:rFonts w:ascii="Times New Roman" w:hAnsi="Times New Roman" w:cs="Times New Roman"/>
          <w:lang w:val="en-US"/>
        </w:rPr>
      </w:pPr>
      <w:r w:rsidRPr="0067008A">
        <w:rPr>
          <w:rFonts w:ascii="Times New Roman" w:hAnsi="Times New Roman" w:cs="Times New Roman"/>
        </w:rPr>
        <w:t xml:space="preserve">Los Pandora Papers documentan, además, la relación que Lasso tuvo con once entidades de Panamá, Islas Vírgenes Británicas y Delaware (EE. UU.). Todas fueron canceladas, algunas antes de que se aprobara la ley de 2017. </w:t>
      </w:r>
      <w:r w:rsidRPr="0067008A">
        <w:rPr>
          <w:rFonts w:ascii="Times New Roman" w:hAnsi="Times New Roman" w:cs="Times New Roman"/>
          <w:lang w:val="en-US"/>
        </w:rPr>
        <w:t xml:space="preserve">Estas son Pacifika Services, Da Vinci Foundation, Positano Trade LLC, Fundación Bienes Raíces, Tintoretto International Foundation, Nora Investment US LLC, Nora Group Investment Corp., Pietro Overseas S.A., Bernini Foundation, Barberini Foundation y Bretten Holdings Inc. </w:t>
      </w:r>
    </w:p>
    <w:p w:rsidR="006A4D59" w:rsidRPr="0067008A" w:rsidRDefault="00921711" w:rsidP="0030242D">
      <w:pPr>
        <w:pStyle w:val="Prrafodelista"/>
        <w:numPr>
          <w:ilvl w:val="0"/>
          <w:numId w:val="39"/>
        </w:numPr>
        <w:spacing w:after="240" w:line="360" w:lineRule="auto"/>
        <w:jc w:val="both"/>
      </w:pPr>
      <w:r w:rsidRPr="0067008A">
        <w:rPr>
          <w:b/>
        </w:rPr>
        <w:t>A nivel nacional:</w:t>
      </w:r>
    </w:p>
    <w:p w:rsidR="006A4D59" w:rsidRPr="0067008A" w:rsidRDefault="00921711" w:rsidP="0030242D">
      <w:pPr>
        <w:spacing w:after="240" w:line="360" w:lineRule="auto"/>
        <w:jc w:val="both"/>
        <w:rPr>
          <w:rFonts w:ascii="Times New Roman" w:hAnsi="Times New Roman" w:cs="Times New Roman"/>
        </w:rPr>
      </w:pPr>
      <w:r w:rsidRPr="0067008A">
        <w:rPr>
          <w:rFonts w:ascii="Times New Roman" w:hAnsi="Times New Roman" w:cs="Times New Roman"/>
        </w:rPr>
        <w:t xml:space="preserve">El Presidente de la República del Ecuador recibe los dividendos del Banco Guayaquil en el Fideicomiso Mercantil de Administración GLM, creado en Ecuador en 2011, donde él es el único beneficiario. El Presidente de la República del Ecuador informó que posee un patrimonio de $36,6 millones. En la declaración patrimonial juramentada que presentó para posesionarse como presidente indicó que son suyos vehículos, casas en Santa Elena y Guayas, y un terreno en Pichincha. Su patrimonio suma $ 39,7 millones. </w:t>
      </w:r>
    </w:p>
    <w:p w:rsidR="006A4D59" w:rsidRPr="0067008A" w:rsidRDefault="00921711" w:rsidP="0030242D">
      <w:pPr>
        <w:spacing w:after="240" w:line="360" w:lineRule="auto"/>
        <w:jc w:val="both"/>
        <w:rPr>
          <w:rFonts w:ascii="Times New Roman" w:hAnsi="Times New Roman" w:cs="Times New Roman"/>
        </w:rPr>
      </w:pPr>
      <w:r w:rsidRPr="0067008A">
        <w:rPr>
          <w:rFonts w:ascii="Times New Roman" w:hAnsi="Times New Roman" w:cs="Times New Roman"/>
        </w:rPr>
        <w:t xml:space="preserve">En 2009, cuando era presidente del Directorio de la Fundación Terminal Terrestre de Guayaquil, Lasso indicó en su declaración patrimonial que “los inmuebles que habita y los vehículos (…) que utiliza diariamente son de propiedad de la compañía Brother’s Investment Ltd cuya propietaria es la señora María de Lourdes Alcívar de Lasso”. Esta firma, domiciliada en las Islas Caimán, ya fue disuelta.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En la Sesión Ordinaria Nro. 033 de 18 de octubre de 2021, la periodista argentina Cynthia García comentó la investigación</w:t>
      </w:r>
      <w:r w:rsidR="00677E33" w:rsidRPr="0067008A">
        <w:rPr>
          <w:rFonts w:ascii="Times New Roman" w:hAnsi="Times New Roman" w:cs="Times New Roman"/>
        </w:rPr>
        <w:t xml:space="preserve"> </w:t>
      </w:r>
      <w:r w:rsidRPr="0067008A">
        <w:rPr>
          <w:rFonts w:ascii="Times New Roman" w:hAnsi="Times New Roman" w:cs="Times New Roman"/>
        </w:rPr>
        <w:t xml:space="preserve">que realizó hasta marzo de 2017, sobre el caso del Banisi Holdings S.A., Banisi International Foundation y Pietro Overseas S.A. del Presidente de la República del Ecuador. Como se mencionó previamente, este último se encontraba en un paraíso fiscal; y, de acuerdo con la investigación de “Pandora Papers” este se ha disuelto.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Por lo que a continuación, se expone el caso, que data de 2017.</w:t>
      </w:r>
      <w:r w:rsidR="00677E33" w:rsidRPr="0067008A">
        <w:rPr>
          <w:rFonts w:ascii="Times New Roman" w:hAnsi="Times New Roman" w:cs="Times New Roman"/>
        </w:rPr>
        <w:t xml:space="preserve"> </w:t>
      </w:r>
      <w:r w:rsidRPr="0067008A">
        <w:rPr>
          <w:rFonts w:ascii="Times New Roman" w:hAnsi="Times New Roman" w:cs="Times New Roman"/>
        </w:rPr>
        <w:t>El reportaje resalta que "Pietro Overseas tiene apenas un capital de $ 10.000, mientras que Banisi posee $ 300 millones en activos y Banisi Holding que es la figura intermedia tiene $ 30 millones en activos".</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Página 12, en base a fuentes financieras, asegura "que Pietro es Lasso y que en realidad el candidato a la presidencia se auto vendió el banco de Panamá ocultándose en esa empresa con nombre de fantasía italiano, que si se busca en internet solo salen los registros de una firma de abogados expertos en negocios offshore".</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"El presidente de Banisi Holding es Guilermo Lasso Mendoza, su esposa tesorera y su hijo el secretario. Esas designaciones las realiza el accionista mayoritario: Pietro Overseas", prosigue la nota periodística.</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Cynthia García, periodista que redactó el reportaje, advierte también que Juan Fernando Noboa, abogado de Guillermo Lasso, realizó transferencias bancarias a Alemán Cordero, del mencionado bufete panameño experto en empresas offshore que creó la empresa Pietro.</w:t>
      </w:r>
    </w:p>
    <w:p w:rsidR="006A4D59" w:rsidRPr="0067008A" w:rsidRDefault="00921711" w:rsidP="00677E33">
      <w:pPr>
        <w:spacing w:after="240" w:line="360" w:lineRule="auto"/>
        <w:jc w:val="both"/>
        <w:rPr>
          <w:rFonts w:ascii="Times New Roman" w:hAnsi="Times New Roman" w:cs="Times New Roman"/>
          <w:color w:val="FF0000"/>
        </w:rPr>
      </w:pPr>
      <w:r w:rsidRPr="0067008A">
        <w:rPr>
          <w:rFonts w:ascii="Times New Roman" w:hAnsi="Times New Roman" w:cs="Times New Roman"/>
        </w:rPr>
        <w:t xml:space="preserve">"Sería como un encastre de Mamuskas: Pietro designa a Lasso como presidente de Banisi Holding. Banisi Holding controla Banco Banisi. Banisi Holding designa a </w:t>
      </w:r>
      <w:r w:rsidRPr="0067008A">
        <w:rPr>
          <w:rFonts w:ascii="Times New Roman" w:hAnsi="Times New Roman" w:cs="Times New Roman"/>
          <w:color w:val="FF0000"/>
        </w:rPr>
        <w:t>…</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De acuerdo con el Diario El Universo, en 2017, también se lo atacó en algunos medios de comunicación por estar relacionado con estructuras offshore y por supuestamente esconder su participación en el Banco Banisi de Panamá. Esta entidad fue creada en 2007 y funciona como una institución financiera de ese país, no como un banco offshore. En febrero de 2014, Banco Guayaquil, único accionista de Banisi, vendió todas sus acciones a Banisi Holding S.A. En una resolución de la Superintendencia de Bancos panameña se indicó que los directores del holding eran Lasso, su esposa y uno de sus hijos. A partir de entonces ha habido aumentos de capital, algunos aportados por otros accionistas del holding, miembros de la familia Lasso Mendoza. Actualmente Banisi International Foundation tiene el 47,27 % de Banisi Holdings.</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En respuesta al Oficio Nro. AN-CGCDHCI-2021-0090-O de la Comisión Especializada Permanente de Garantías Constitucionales, la compañía Real Casa de Valores de Guayaquil, bajo juramento informó que el “señor Guillermo Lasso Mendoza, portador de la cédula de ciudadanía No. (….) no registra inversiones como accionista de algún consorcio comercial, banco o fideicomiso, desde el año 2010 hasta la presente fecha mediante la compañía Real Casa de Valores de Guayaquil S.A.</w:t>
      </w:r>
    </w:p>
    <w:p w:rsidR="006A4D59" w:rsidRPr="0067008A" w:rsidRDefault="00921711" w:rsidP="00807CD2">
      <w:pPr>
        <w:pStyle w:val="Prrafodelista"/>
        <w:numPr>
          <w:ilvl w:val="0"/>
          <w:numId w:val="39"/>
        </w:numPr>
        <w:spacing w:after="240" w:line="360" w:lineRule="auto"/>
        <w:jc w:val="both"/>
      </w:pPr>
      <w:r w:rsidRPr="0067008A">
        <w:rPr>
          <w:b/>
        </w:rPr>
        <w:t>Información obtenida por parte de los expertos</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En la Sesión No. 39 del 23-octubre-2021, por invitación de la Comisión participaron diversos expertos.</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Éric Toussaint. Doctor en Ciencias políticas de la Universidad de Lieja y de la Universidad de París VIII, es el portavoz del CADTM internacional y es miembro del Consejo Científico de ATTAC Francia. Coordinó los trabajos de la Comisión de la Verdad Sobre la Deuda, creada por la presidenta del Parlamento griego.</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Los ricos a nivel del mundo utilizan paraísos fiscales para evadir impuestos y disimular la realidad de su patrimonio y en ciertos casos para lavar dinero y fugar capitales. Los cuales sirven para organizar la evasión fiscal y las fugas de capitales, así miles de miles de millones de dólares cada año escapan del fisco de los diferentes países y tiene como consecuencia que los Estados sean víctimas de esa evasión fiscal a gran escala; no tiene suficientes ingresos fiscales y tiene que endeudarse para financiar el presupuesto y el gasto corriente.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Los paraísos fiscales son un tema central para todas las naciones del planeta y pueblos del mundo, porque la pérdida de ingreso puede tener consecuencias estructurales tremendas. En particular, como la situación actual de una crisis multidimensional como una pandemia, una crisis económica y ecológica que necesita movilizar de parte de los poderes públicos mucho dinero y no lo tienen; mientras una pequeña minoría se enriquece de manera extraordinaria e ilegítima.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Hay una relación directa entre pérdidas de ingresos fiscales y endeudamiento público para financiar el presupuesto, lo vicioso de esto es que los mismos que evaden colocan sus capitales en otros países, y a partir de esta plataforma compran títulos de la deuda externa de su país</w:t>
      </w:r>
      <w:r w:rsidR="00677E33" w:rsidRPr="0067008A">
        <w:rPr>
          <w:rFonts w:ascii="Times New Roman" w:hAnsi="Times New Roman" w:cs="Times New Roman"/>
        </w:rPr>
        <w:t xml:space="preserve"> </w:t>
      </w:r>
      <w:r w:rsidRPr="0067008A">
        <w:rPr>
          <w:rFonts w:ascii="Times New Roman" w:hAnsi="Times New Roman" w:cs="Times New Roman"/>
        </w:rPr>
        <w:t xml:space="preserve">recibiendo el pago del interés por el Estado como tenedores de bono.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Los paraísos fiscales tienen un efecto nefasto para todo el planeta, afectando a un país como Ecuador porque está perdiendo ingresos fiscales, y las personas que tendrían que pagar impuestos en el Ecuador, no pagan suficiente o sólo pagan algunos. Lo hacen para evadir impuestos, disimular el patrimonio real y en ciertos casos, blanquear dinero del crimen y esconder ganancias de actividades criminales.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Las empresas o personas que utilizan los paraísos fiscales buscan los servicios de personas y de empresas especializadas en opacar actividades financieras, son expertos y se pagan con precio alto este tipo de servicios. Además los fideicomisos son un mecanismo que transfieren a empresas fantasmas, son estructuras legales que funcionan en estos casos sin tener actividad real en el país. Utilizar a su familia o grupo cercano hace parte del esquema de los paraísos fiscales o hay personas que prestan su nombre para dificultar conocer exactamente los dueños reales y claro hay que esclarecer lo revelado por el Consorcio de Periodistas.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Un Estado debe prohibir a sus empresas y la minoría que utiliza los paraísos fiscales seguir abusando de estas figuras. Para mantener el equilibro, Ecuador necesita dólares y si parte son evadidos y salen hacía al exterior eso genera un problema para la balanza de pagos de un país dolarizado como el Ecuador.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Ejemplo: En Delaware hay novecientos mil habitantes y hay un millón quinientos mil empresas declaradas, casi el doble de empresas en relación a la población.</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Andrés Knobel. Abogado (UBA) y ha sido consultor de la organización europea Tax Justice Network, el Green Party del Parlamento Europeo y el Banco Interamericano de Desarrollo.</w:t>
      </w:r>
      <w:r w:rsidR="00677E33" w:rsidRPr="0067008A">
        <w:rPr>
          <w:rFonts w:ascii="Times New Roman" w:hAnsi="Times New Roman" w:cs="Times New Roman"/>
        </w:rPr>
        <w:t xml:space="preserve"> </w:t>
      </w:r>
      <w:r w:rsidRPr="0067008A">
        <w:rPr>
          <w:rFonts w:ascii="Times New Roman" w:hAnsi="Times New Roman" w:cs="Times New Roman"/>
        </w:rPr>
        <w:t xml:space="preserve">Ha venido trabajando en el Financial Secrecy Index, un análisis legal de más de 100 paraísos fiscales, y en el nuevo estándar de la OCDE sobre intercambio automático de información. Se especializa en el intercambio automático de información (FATCA y el CRS de la OCDE), los regímenes abusivos de la ley de fideicomisos y los mecanismos de evasión fiscal.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Es importante analizar el marco legal de los países para identificar y exponer cuales son los paraísos fiscales que generan tanto abuso y la necesidad de mayor transparencia en Ecuador y en el Mundo.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El gran problema de los paraísos fiscales, de las jurisdicciones opacas o de secreto, es el acceso a la información al no existir la misma sobre la titularidad o el beneficiario final de estas empresas, de sus activos o ingresos a veces la declaración, en sí se convierte en voluntaria. Por tanto, para asegurar el cumplimiento del pago de tributos, si la autoridad de control no confirma ese dato es porque la información suele estar en un paraíso fiscal.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Otro de los puntos de los cuales se habla en Pandora Papers es el uso de los Trusts o fideicomisos, estos últimos suelen beneficiarse de mucho</w:t>
      </w:r>
      <w:r w:rsidR="00807CD2" w:rsidRPr="0067008A">
        <w:rPr>
          <w:rFonts w:ascii="Times New Roman" w:hAnsi="Times New Roman" w:cs="Times New Roman"/>
        </w:rPr>
        <w:t xml:space="preserve"> </w:t>
      </w:r>
      <w:r w:rsidRPr="0067008A">
        <w:rPr>
          <w:rFonts w:ascii="Times New Roman" w:hAnsi="Times New Roman" w:cs="Times New Roman"/>
        </w:rPr>
        <w:t xml:space="preserve">más opacidad que otros arreglos jurídicos, por cuanto muchas veces no hay obligatoriedad en su registro. También prueba la evidencia que muchas veces estos fideicomisos son abusados para esconder la titularidad o involucrarse en cualquier flujo financiero ilícito.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Hay varias razones por las que una persona recurre a los paraísos fiscales, una de ellas es mantenerse opaco detrás de vehículos jurídicos o personas jurídicas y también para esconder sus cuentas bancarias. El riesgo de los Trusts o los Fideicomisos, en general no se sabe cuántos hay, qué bienes tienen y quienes lo controlan, las partes involucradas en este figura y sus calidades dentro de estas figuras.</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La base de un fideicomiso es un fiduciario que da bienes al Trust (fideicomiso) que lo tendrá en beneficio de los beneficiarios. La realidad de los fideicomisos puede ser mucho más compleja donde hay una persona de un testaferro quien es quien aparece en el instrumento pero no es el verdadero dueño. Un mecanismo muy útil es el uso de fideicomisos discrecionales donde en papel el fiduciario tendría discreción</w:t>
      </w:r>
      <w:r w:rsidR="00677E33" w:rsidRPr="0067008A">
        <w:rPr>
          <w:rFonts w:ascii="Times New Roman" w:hAnsi="Times New Roman" w:cs="Times New Roman"/>
        </w:rPr>
        <w:t xml:space="preserve"> </w:t>
      </w:r>
      <w:r w:rsidRPr="0067008A">
        <w:rPr>
          <w:rFonts w:ascii="Times New Roman" w:hAnsi="Times New Roman" w:cs="Times New Roman"/>
        </w:rPr>
        <w:t>de cuando, cuanto y si va a recibir o no, pueden existir clases de beneficiarios sobre los cuales recae una distribución. Para que el fiduciante se asegure que el fiduciario haga lo que quiere, se utiliza la figura del protector. Y también existe otro mecanismo es cuando el fiduciario es una persona jurídica, una empresa y quien controla va a depender de quien controla la empresa del beneficiario final o de los accionistas. Todo depende de la persona que crea el fideicomiso y conforme su voluntad (carta de deseos).</w:t>
      </w:r>
      <w:r w:rsidR="00677E33" w:rsidRPr="0067008A">
        <w:rPr>
          <w:rFonts w:ascii="Times New Roman" w:hAnsi="Times New Roman" w:cs="Times New Roman"/>
        </w:rPr>
        <w:t xml:space="preserve">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Dakota del Sur, es un destino principalmente por la opacidad y la facultad de proteger activos frente a la sociedad.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Las offshore puede ser utilizadas para innumerables cuestiones, el gran riesgo son abusados para</w:t>
      </w:r>
      <w:r w:rsidR="00677E33" w:rsidRPr="0067008A">
        <w:rPr>
          <w:rFonts w:ascii="Times New Roman" w:hAnsi="Times New Roman" w:cs="Times New Roman"/>
        </w:rPr>
        <w:t xml:space="preserve"> </w:t>
      </w:r>
      <w:r w:rsidRPr="0067008A">
        <w:rPr>
          <w:rFonts w:ascii="Times New Roman" w:hAnsi="Times New Roman" w:cs="Times New Roman"/>
        </w:rPr>
        <w:t xml:space="preserve">los flujos financieros ilícitos como: evasión de impuestos, elusión de impuestos, lavado de activos, esconder frutos de la corrupción, evitar el recuperado de activos, simulaciones con cualquier estructura jurídica que goce de secreto, lo que te permite operar de donde tu quieras.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La solución a las investigaciones no es solo buscar quien es el titular actual sino quien es el fundador.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Ramiro Chimurris. Universidad de la República Oriental del Uruguay (Udelar). Facultad de Derecho. Coordinador y co-fundador de la Red de Cátedras de Deuda Pública. Red Cadtm Ayna.</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Guaridas fiscales o paraísos fiscales, espacios reservados para elusión y evasión de los capitales de empresas y corporaciones, no son solo islas sino Estados que ofrecen y garantizan la exención de impuestos y tasas casi nulas a través de un arquitectura jurídica de ficción con apariencia de perfecta legalidad puede realizar todo tipo de comercio, transferencias de activos, monedas, mercancías, bonos y otros instrumentos derivados siempre protegidos por las reglas de inversión cubierta.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La elusión es un mecanismo más amplio que puede contener o no a la evasión fiscal. El beneficiario utiliza vías fiscales para minimizar el pago de los impuestos, y obtienen ventajas de normas no previstas en la normativa tributaria de su país.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Los paraísos fiscales son un instrumento de elusión fiscal que facilitan aquellas personas o empresas una tributación reducida o la opacidad. La evasión fiscal ya apareja a un ilícito tributario. Los métodos de evasión fiscal tendrán que ver con el país de residencia sobre todo la creación de las offshore.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Sin embargo, llevar los bienes al extranjero y colocarlos fuera hacen que esos no produzcan trabajo y riqueza en nuestros propios Estados.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La deuda pública se relaciona con los paraísos fiscales porque muchas veces los países deben recurrir a endeudamientos externos porque no tiene recursos para políticas de desarrollo y no tiene ese capital, eso mecanismos hace que los países sean empobrecidos y alteren las economías locales.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Los paraísos fiscales se hacen con una estrategia, planificación adecuada y un costo financiero muy grande, afectan la sostenibilidad de un país, sin lugar a dudas. No pueden hacerlo todas las personas, sino un élite que tiene recursos y un poder económico muy fuerte. Sin intermediario y profesionales no puedes hacer funcionar y mantener cubierto estas operaciones.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El fideicomiso puede ocultar tu activo, obtener mayor ganancia y pagar menor tributación, beneficiar a terceros a uno o varios y sin dejar registro. En esta práctica es común que se mantenga cierta cercanía familiar con el involucrado directo.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El atractivo de Panamá, Delaware y Dakota del Sur, se ha creado un plus para hacerlos atractivos con los mecanismos del no residente una de las condiciones es que no tenga actividad comercial en el lugar o reducida ahí es le exención de tributos o reducida.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A nivel mundial hay que combatir estas prácticas, si queremos sociedades transparentes hay que comportarse como personas transparentes.</w:t>
      </w:r>
    </w:p>
    <w:p w:rsidR="006A4D59" w:rsidRPr="0067008A" w:rsidRDefault="00807CD2" w:rsidP="00807CD2">
      <w:pPr>
        <w:pStyle w:val="Prrafodelista"/>
        <w:numPr>
          <w:ilvl w:val="0"/>
          <w:numId w:val="42"/>
        </w:numPr>
        <w:spacing w:after="240" w:line="360" w:lineRule="auto"/>
        <w:jc w:val="both"/>
      </w:pPr>
      <w:r w:rsidRPr="0067008A">
        <w:rPr>
          <w:b/>
        </w:rPr>
        <w:t>INFORMACIÓN RECIBIDA POR LA COMISIÓN POR PEDIDOS PUNTUALES DE INFORMACIÓN</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La Comisión en el marco de las disposiciones del Pleno de la Asamblea Nacional y la Ley Orgánica de la Función Legislativa, requirió información a distintas instituciones. Además, se </w:t>
      </w:r>
      <w:r w:rsidR="00807CD2" w:rsidRPr="0067008A">
        <w:rPr>
          <w:rFonts w:ascii="Times New Roman" w:hAnsi="Times New Roman" w:cs="Times New Roman"/>
        </w:rPr>
        <w:t>procesó</w:t>
      </w:r>
      <w:r w:rsidRPr="0067008A">
        <w:rPr>
          <w:rFonts w:ascii="Times New Roman" w:hAnsi="Times New Roman" w:cs="Times New Roman"/>
        </w:rPr>
        <w:t xml:space="preserve"> y analizó información presentada por Asambleístas distintos a los miembros de la Comisión. </w:t>
      </w:r>
    </w:p>
    <w:p w:rsidR="006A4D59" w:rsidRPr="0067008A" w:rsidRDefault="00921711" w:rsidP="00807CD2">
      <w:pPr>
        <w:pStyle w:val="Prrafodelista"/>
        <w:numPr>
          <w:ilvl w:val="0"/>
          <w:numId w:val="39"/>
        </w:numPr>
        <w:spacing w:after="240" w:line="360" w:lineRule="auto"/>
        <w:jc w:val="both"/>
        <w:outlineLvl w:val="1"/>
      </w:pPr>
      <w:bookmarkStart w:id="2" w:name="_Toc86665428"/>
      <w:r w:rsidRPr="00CC67C2">
        <w:rPr>
          <w:b/>
          <w:color w:val="000000"/>
        </w:rPr>
        <w:t>Tribunal Contencioso Electoral, proceso Pº 090-2020-TCE:</w:t>
      </w:r>
      <w:bookmarkEnd w:id="2"/>
    </w:p>
    <w:p w:rsidR="006A4D59" w:rsidRPr="0067008A" w:rsidRDefault="00921711" w:rsidP="00807CD2">
      <w:pPr>
        <w:spacing w:after="240" w:line="360" w:lineRule="auto"/>
        <w:jc w:val="both"/>
        <w:rPr>
          <w:rFonts w:ascii="Times New Roman" w:hAnsi="Times New Roman" w:cs="Times New Roman"/>
        </w:rPr>
      </w:pPr>
      <w:r w:rsidRPr="0067008A">
        <w:rPr>
          <w:rFonts w:ascii="Times New Roman" w:hAnsi="Times New Roman" w:cs="Times New Roman"/>
          <w:lang w:val="es-EC"/>
        </w:rPr>
        <w:t xml:space="preserve">Con fecha 4 de Octubre de 2020 se inició en el Tribunal Contencioso Electoral el Recurso Subjetivo Contencioso Electoral, codificado como Proceso Nº 090-2020.TCE, interpuesto por Joseph Santiago Díaz Asque, quien en calidad de Procurador Común de la Alianza Unión por la Esperanza, actuó como accionante </w:t>
      </w:r>
      <w:r w:rsidRPr="0067008A">
        <w:rPr>
          <w:rFonts w:ascii="Times New Roman" w:hAnsi="Times New Roman" w:cs="Times New Roman"/>
          <w:lang w:val="es-ES"/>
        </w:rPr>
        <w:t>contra la Resolución PLE-CNE-6-30-9-2020 del Pleno</w:t>
      </w:r>
      <w:r w:rsidR="00677E33" w:rsidRPr="0067008A">
        <w:rPr>
          <w:rFonts w:ascii="Times New Roman" w:hAnsi="Times New Roman" w:cs="Times New Roman"/>
          <w:lang w:val="es-ES"/>
        </w:rPr>
        <w:t xml:space="preserve"> </w:t>
      </w:r>
      <w:r w:rsidRPr="0067008A">
        <w:rPr>
          <w:rFonts w:ascii="Times New Roman" w:hAnsi="Times New Roman" w:cs="Times New Roman"/>
          <w:lang w:val="es-ES"/>
        </w:rPr>
        <w:t xml:space="preserve">del Consejo Nacional Electoral, mediante con la que se había negado la objeción a la candidatura de Guillermo Alberto Santiago Lasso Mendoza, para entonces candidato a la Presidencia de la República. </w:t>
      </w:r>
    </w:p>
    <w:p w:rsidR="006A4D59" w:rsidRPr="0067008A" w:rsidRDefault="00921711" w:rsidP="00807CD2">
      <w:pPr>
        <w:spacing w:after="240" w:line="360" w:lineRule="auto"/>
        <w:jc w:val="both"/>
        <w:rPr>
          <w:rFonts w:ascii="Times New Roman" w:hAnsi="Times New Roman" w:cs="Times New Roman"/>
        </w:rPr>
      </w:pPr>
      <w:r w:rsidRPr="0067008A">
        <w:rPr>
          <w:rFonts w:ascii="Times New Roman" w:hAnsi="Times New Roman" w:cs="Times New Roman"/>
          <w:lang w:val="es-ES"/>
        </w:rPr>
        <w:t>Los argumentos expuestos por Díaz Asque refieren a que la resolución adoptada por el Consejo Nacional Electoral, vulnera el artículo 99, numeral 9 del</w:t>
      </w:r>
      <w:r w:rsidR="00677E33" w:rsidRPr="0067008A">
        <w:rPr>
          <w:rFonts w:ascii="Times New Roman" w:hAnsi="Times New Roman" w:cs="Times New Roman"/>
          <w:lang w:val="es-ES"/>
        </w:rPr>
        <w:t xml:space="preserve"> </w:t>
      </w:r>
      <w:r w:rsidRPr="0067008A">
        <w:rPr>
          <w:rFonts w:ascii="Times New Roman" w:hAnsi="Times New Roman" w:cs="Times New Roman"/>
          <w:lang w:val="es-ES"/>
        </w:rPr>
        <w:t>Código de</w:t>
      </w:r>
      <w:r w:rsidR="00677E33" w:rsidRPr="0067008A">
        <w:rPr>
          <w:rFonts w:ascii="Times New Roman" w:hAnsi="Times New Roman" w:cs="Times New Roman"/>
          <w:lang w:val="es-ES"/>
        </w:rPr>
        <w:t xml:space="preserve"> </w:t>
      </w:r>
      <w:r w:rsidRPr="0067008A">
        <w:rPr>
          <w:rFonts w:ascii="Times New Roman" w:hAnsi="Times New Roman" w:cs="Times New Roman"/>
          <w:lang w:val="es-ES"/>
        </w:rPr>
        <w:t>la Democracia que considera como una inhabilidad para la candidatura de Guillermo Lasso Mendoza, el tener bienes o recursos en paraíso</w:t>
      </w:r>
      <w:r w:rsidR="00677E33" w:rsidRPr="0067008A">
        <w:rPr>
          <w:rFonts w:ascii="Times New Roman" w:hAnsi="Times New Roman" w:cs="Times New Roman"/>
          <w:lang w:val="es-ES"/>
        </w:rPr>
        <w:t xml:space="preserve"> </w:t>
      </w:r>
      <w:r w:rsidRPr="0067008A">
        <w:rPr>
          <w:rFonts w:ascii="Times New Roman" w:hAnsi="Times New Roman" w:cs="Times New Roman"/>
          <w:lang w:val="es-ES"/>
        </w:rPr>
        <w:t>fiscales, y de esta forma también así la Ley</w:t>
      </w:r>
      <w:r w:rsidR="00677E33" w:rsidRPr="0067008A">
        <w:rPr>
          <w:rFonts w:ascii="Times New Roman" w:hAnsi="Times New Roman" w:cs="Times New Roman"/>
          <w:lang w:val="es-ES"/>
        </w:rPr>
        <w:t xml:space="preserve"> </w:t>
      </w:r>
      <w:r w:rsidRPr="0067008A">
        <w:rPr>
          <w:rFonts w:ascii="Times New Roman" w:hAnsi="Times New Roman" w:cs="Times New Roman"/>
          <w:lang w:val="es-ES"/>
        </w:rPr>
        <w:t>Orgánica</w:t>
      </w:r>
      <w:r w:rsidR="00677E33" w:rsidRPr="0067008A">
        <w:rPr>
          <w:rFonts w:ascii="Times New Roman" w:hAnsi="Times New Roman" w:cs="Times New Roman"/>
          <w:lang w:val="es-ES"/>
        </w:rPr>
        <w:t xml:space="preserve"> </w:t>
      </w:r>
      <w:r w:rsidRPr="0067008A">
        <w:rPr>
          <w:rFonts w:ascii="Times New Roman" w:hAnsi="Times New Roman" w:cs="Times New Roman"/>
          <w:lang w:val="es-ES"/>
        </w:rPr>
        <w:t>para</w:t>
      </w:r>
      <w:r w:rsidR="00677E33" w:rsidRPr="0067008A">
        <w:rPr>
          <w:rFonts w:ascii="Times New Roman" w:hAnsi="Times New Roman" w:cs="Times New Roman"/>
          <w:lang w:val="es-ES"/>
        </w:rPr>
        <w:t xml:space="preserve"> </w:t>
      </w:r>
      <w:r w:rsidRPr="0067008A">
        <w:rPr>
          <w:rFonts w:ascii="Times New Roman" w:hAnsi="Times New Roman" w:cs="Times New Roman"/>
          <w:lang w:val="es-ES"/>
        </w:rPr>
        <w:t>la</w:t>
      </w:r>
      <w:r w:rsidR="00677E33" w:rsidRPr="0067008A">
        <w:rPr>
          <w:rFonts w:ascii="Times New Roman" w:hAnsi="Times New Roman" w:cs="Times New Roman"/>
          <w:lang w:val="es-ES"/>
        </w:rPr>
        <w:t xml:space="preserve"> </w:t>
      </w:r>
      <w:r w:rsidRPr="0067008A">
        <w:rPr>
          <w:rFonts w:ascii="Times New Roman" w:hAnsi="Times New Roman" w:cs="Times New Roman"/>
          <w:lang w:val="es-ES"/>
        </w:rPr>
        <w:t>Aplicación de la Consulta Popular efectuada el 19 de febrero</w:t>
      </w:r>
      <w:r w:rsidR="00677E33" w:rsidRPr="0067008A">
        <w:rPr>
          <w:rFonts w:ascii="Times New Roman" w:hAnsi="Times New Roman" w:cs="Times New Roman"/>
          <w:lang w:val="es-ES"/>
        </w:rPr>
        <w:t xml:space="preserve"> </w:t>
      </w:r>
      <w:r w:rsidRPr="0067008A">
        <w:rPr>
          <w:rFonts w:ascii="Times New Roman" w:hAnsi="Times New Roman" w:cs="Times New Roman"/>
          <w:lang w:val="es-ES"/>
        </w:rPr>
        <w:t>de 2017, para lo que toma como referencia las publicaciones del diario argentino Página 12.</w:t>
      </w:r>
    </w:p>
    <w:p w:rsidR="006A4D59" w:rsidRPr="0067008A" w:rsidRDefault="00921711" w:rsidP="00F54F0A">
      <w:pPr>
        <w:spacing w:after="240" w:line="360" w:lineRule="auto"/>
        <w:jc w:val="both"/>
        <w:rPr>
          <w:rFonts w:ascii="Times New Roman" w:hAnsi="Times New Roman" w:cs="Times New Roman"/>
        </w:rPr>
      </w:pPr>
      <w:r w:rsidRPr="0067008A">
        <w:rPr>
          <w:rFonts w:ascii="Times New Roman" w:hAnsi="Times New Roman" w:cs="Times New Roman"/>
          <w:lang w:val="es-ES"/>
        </w:rPr>
        <w:t>Al respecto, consta a foja 109 del proceso</w:t>
      </w:r>
      <w:r w:rsidRPr="0067008A">
        <w:rPr>
          <w:rFonts w:ascii="Times New Roman" w:hAnsi="Times New Roman" w:cs="Times New Roman"/>
          <w:lang w:val="es-EC"/>
        </w:rPr>
        <w:t xml:space="preserve"> en mención, la comunicación del Procurador Común de la Alianza CREO 21 – PSC 6 </w:t>
      </w:r>
      <w:r w:rsidRPr="0067008A">
        <w:rPr>
          <w:rFonts w:ascii="Times New Roman" w:hAnsi="Times New Roman" w:cs="Times New Roman"/>
          <w:lang w:val="es-ES"/>
        </w:rPr>
        <w:t>Dr. Lorenzo Calvas Preciado remitida con fecha 28 de Septiembre de 2020 a la Ingeniera Diana Atamaint, Presidenta del Consejo Nacional Electoral. Adjunto a esa comunicación, en la que se califica de infundada la objeción de Diaz Asque a la candidatura a la Presidencia de Guillermo Lasso Mendoza, el Dr. Lorenzo Calvas presenta como descargo los siguientes certificados que debido a su importancia y legalidad, son asumidos como</w:t>
      </w:r>
      <w:r w:rsidR="0037380D" w:rsidRPr="0067008A">
        <w:rPr>
          <w:rFonts w:ascii="Times New Roman" w:hAnsi="Times New Roman" w:cs="Times New Roman"/>
          <w:lang w:val="es-ES"/>
        </w:rPr>
        <w:t xml:space="preserve"> anexo</w:t>
      </w:r>
      <w:r w:rsidRPr="0067008A">
        <w:rPr>
          <w:rFonts w:ascii="Times New Roman" w:hAnsi="Times New Roman" w:cs="Times New Roman"/>
          <w:lang w:val="es-ES"/>
        </w:rPr>
        <w:t xml:space="preserve"> en este estudio del caso Pandora – Ecuador, así como se transcribe algunas de las declaraciones del Dr. Lorenzo Calvas en el proceso. </w:t>
      </w:r>
    </w:p>
    <w:p w:rsidR="006A4D59" w:rsidRPr="0067008A" w:rsidRDefault="00921711" w:rsidP="00F54F0A">
      <w:pPr>
        <w:pStyle w:val="Prrafodelista"/>
        <w:numPr>
          <w:ilvl w:val="0"/>
          <w:numId w:val="39"/>
        </w:numPr>
        <w:spacing w:after="240" w:line="360" w:lineRule="auto"/>
        <w:jc w:val="both"/>
      </w:pPr>
      <w:r w:rsidRPr="0067008A">
        <w:rPr>
          <w:b/>
          <w:lang w:val="es-ES"/>
        </w:rPr>
        <w:t>TRANSCRIPCIÓN DE DECLARACIONES DEL DR. LORENZO CALVAS PRECIADO EN EL PROCESO Nº 090-2020.TCE, EN COMUNICACIÓN DEL 28 DE SEPTIEMBRE DE 2020:</w:t>
      </w:r>
    </w:p>
    <w:p w:rsidR="006A4D59" w:rsidRPr="0067008A" w:rsidRDefault="00921711" w:rsidP="00F54F0A">
      <w:pPr>
        <w:spacing w:after="240" w:line="360" w:lineRule="auto"/>
        <w:rPr>
          <w:rFonts w:ascii="Times New Roman" w:hAnsi="Times New Roman" w:cs="Times New Roman"/>
          <w:b/>
          <w:i/>
        </w:rPr>
      </w:pPr>
      <w:r w:rsidRPr="0067008A">
        <w:rPr>
          <w:rFonts w:ascii="Times New Roman" w:hAnsi="Times New Roman" w:cs="Times New Roman"/>
          <w:b/>
          <w:i/>
        </w:rPr>
        <w:t xml:space="preserve">Acerca de POSITANO </w:t>
      </w:r>
      <w:r w:rsidRPr="0067008A">
        <w:rPr>
          <w:rFonts w:ascii="Times New Roman" w:hAnsi="Times New Roman" w:cs="Times New Roman"/>
          <w:b/>
          <w:i/>
          <w:lang w:val="es-ES"/>
        </w:rPr>
        <w:t>TRADE LLC</w:t>
      </w:r>
      <w:r w:rsidRPr="0067008A">
        <w:rPr>
          <w:rFonts w:ascii="Times New Roman" w:hAnsi="Times New Roman" w:cs="Times New Roman"/>
          <w:b/>
          <w:i/>
        </w:rPr>
        <w:t>.-</w:t>
      </w:r>
    </w:p>
    <w:p w:rsidR="006A4D59" w:rsidRPr="0067008A" w:rsidRDefault="00921711" w:rsidP="00F54F0A">
      <w:pPr>
        <w:spacing w:after="240" w:line="360" w:lineRule="auto"/>
        <w:jc w:val="both"/>
        <w:rPr>
          <w:rFonts w:ascii="Times New Roman" w:hAnsi="Times New Roman" w:cs="Times New Roman"/>
        </w:rPr>
      </w:pPr>
      <w:r w:rsidRPr="0067008A">
        <w:rPr>
          <w:rFonts w:ascii="Times New Roman" w:hAnsi="Times New Roman" w:cs="Times New Roman"/>
        </w:rPr>
        <w:t xml:space="preserve">A foja 114 el Dr. Calvas menciona: </w:t>
      </w:r>
    </w:p>
    <w:p w:rsidR="006A4D59" w:rsidRPr="0067008A" w:rsidRDefault="00921711" w:rsidP="00F54F0A">
      <w:pPr>
        <w:spacing w:after="240" w:line="360" w:lineRule="auto"/>
        <w:jc w:val="both"/>
        <w:rPr>
          <w:rFonts w:ascii="Times New Roman" w:hAnsi="Times New Roman" w:cs="Times New Roman"/>
          <w:lang w:val="es-ES"/>
        </w:rPr>
      </w:pPr>
      <w:r w:rsidRPr="0067008A">
        <w:rPr>
          <w:rFonts w:ascii="Times New Roman" w:hAnsi="Times New Roman" w:cs="Times New Roman"/>
          <w:i/>
        </w:rPr>
        <w:t>“</w:t>
      </w:r>
      <w:r w:rsidRPr="0067008A">
        <w:rPr>
          <w:rFonts w:ascii="Times New Roman" w:hAnsi="Times New Roman" w:cs="Times New Roman"/>
          <w:i/>
          <w:lang w:val="es-ES"/>
        </w:rPr>
        <w:t xml:space="preserve">Seré breve: Positano </w:t>
      </w:r>
      <w:r w:rsidRPr="0067008A">
        <w:rPr>
          <w:rFonts w:ascii="Times New Roman" w:hAnsi="Times New Roman" w:cs="Times New Roman"/>
          <w:b/>
          <w:i/>
          <w:lang w:val="es-ES"/>
        </w:rPr>
        <w:t>se encuentra</w:t>
      </w:r>
      <w:r w:rsidR="00677E33" w:rsidRPr="0067008A">
        <w:rPr>
          <w:rFonts w:ascii="Times New Roman" w:hAnsi="Times New Roman" w:cs="Times New Roman"/>
          <w:b/>
          <w:i/>
          <w:lang w:val="es-ES"/>
        </w:rPr>
        <w:t xml:space="preserve"> </w:t>
      </w:r>
      <w:r w:rsidRPr="0067008A">
        <w:rPr>
          <w:rFonts w:ascii="Times New Roman" w:hAnsi="Times New Roman" w:cs="Times New Roman"/>
          <w:b/>
          <w:i/>
          <w:lang w:val="es-ES"/>
        </w:rPr>
        <w:t>disuelta</w:t>
      </w:r>
      <w:r w:rsidRPr="0067008A">
        <w:rPr>
          <w:rFonts w:ascii="Times New Roman" w:hAnsi="Times New Roman" w:cs="Times New Roman"/>
          <w:i/>
          <w:lang w:val="es-ES"/>
        </w:rPr>
        <w:t xml:space="preserve"> y por ende no tiene actual existencia jurídica, tal como se demuestra con el adjunto certificado emitido por autoridad competente”.</w:t>
      </w:r>
      <w:r w:rsidRPr="0067008A">
        <w:rPr>
          <w:rFonts w:ascii="Times New Roman" w:hAnsi="Times New Roman" w:cs="Times New Roman"/>
          <w:lang w:val="es-ES"/>
        </w:rPr>
        <w:t xml:space="preserve"> </w:t>
      </w:r>
    </w:p>
    <w:p w:rsidR="00F54F0A" w:rsidRPr="0067008A" w:rsidRDefault="00921711" w:rsidP="00F54F0A">
      <w:pPr>
        <w:spacing w:after="240" w:line="360" w:lineRule="auto"/>
        <w:jc w:val="both"/>
        <w:rPr>
          <w:rFonts w:ascii="Times New Roman" w:hAnsi="Times New Roman" w:cs="Times New Roman"/>
          <w:lang w:val="es-ES"/>
        </w:rPr>
      </w:pPr>
      <w:r w:rsidRPr="0067008A">
        <w:rPr>
          <w:rFonts w:ascii="Times New Roman" w:hAnsi="Times New Roman" w:cs="Times New Roman"/>
          <w:lang w:val="es-ES"/>
        </w:rPr>
        <w:t>Efectivamente, a foja 137 del cuerpo 2 del proceso 090-2020-TCE, se encuentra el Certificado de Vigencia suscrito por Gabriela Lucero, en calidad de Secretaria Asistente de National Registered Agent, Inc. NRAI, en el que se lee, actualmente sirviendo como Agente Registrado de POSITANO TRADE LLC.</w:t>
      </w:r>
    </w:p>
    <w:p w:rsidR="006A4D59" w:rsidRPr="0067008A" w:rsidRDefault="00921711" w:rsidP="00F54F0A">
      <w:pPr>
        <w:spacing w:after="240" w:line="360" w:lineRule="auto"/>
        <w:jc w:val="both"/>
        <w:rPr>
          <w:rFonts w:ascii="Times New Roman" w:hAnsi="Times New Roman" w:cs="Times New Roman"/>
          <w:lang w:val="es-ES"/>
        </w:rPr>
      </w:pPr>
      <w:r w:rsidRPr="0067008A">
        <w:rPr>
          <w:rFonts w:ascii="Times New Roman" w:hAnsi="Times New Roman" w:cs="Times New Roman"/>
          <w:lang w:val="es-ES"/>
        </w:rPr>
        <w:t>Según el detalle de este Certificado, cuya documentación completa debidamente legalizada se la encuentra a partir de foja 133 a foja 143 del proceso y que se incorpora a esta investigación, en el que además consta sello y firma de la Notaria Pública del Estado de Nueva York, se encuentra que:</w:t>
      </w:r>
    </w:p>
    <w:p w:rsidR="006A4D59" w:rsidRPr="0067008A" w:rsidRDefault="00921711" w:rsidP="00DF4D8A">
      <w:pPr>
        <w:spacing w:after="240" w:line="360" w:lineRule="auto"/>
        <w:jc w:val="both"/>
        <w:rPr>
          <w:rFonts w:ascii="Times New Roman" w:hAnsi="Times New Roman" w:cs="Times New Roman"/>
          <w:i/>
          <w:lang w:val="es-ES"/>
        </w:rPr>
      </w:pPr>
      <w:r w:rsidRPr="0067008A">
        <w:rPr>
          <w:rFonts w:ascii="Times New Roman" w:hAnsi="Times New Roman" w:cs="Times New Roman"/>
          <w:i/>
          <w:lang w:val="es-ES"/>
        </w:rPr>
        <w:t>POSITANO TRADE LLC es una compañía de responsabilidad limitada de Delaware, oficialmente</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formada</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en el estado</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de Delaware, el</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19</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de enero</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del 2012, LLC No. 5097914.</w:t>
      </w:r>
    </w:p>
    <w:p w:rsidR="006A4D59" w:rsidRPr="0067008A" w:rsidRDefault="00921711" w:rsidP="00DF4D8A">
      <w:pPr>
        <w:spacing w:after="240" w:line="360" w:lineRule="auto"/>
        <w:jc w:val="both"/>
        <w:rPr>
          <w:rFonts w:ascii="Times New Roman" w:hAnsi="Times New Roman" w:cs="Times New Roman"/>
          <w:i/>
          <w:lang w:val="es-ES"/>
        </w:rPr>
      </w:pPr>
      <w:r w:rsidRPr="0067008A">
        <w:rPr>
          <w:rFonts w:ascii="Times New Roman" w:hAnsi="Times New Roman" w:cs="Times New Roman"/>
          <w:i/>
          <w:lang w:val="es-ES"/>
        </w:rPr>
        <w:t>El agente registrado</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en el Estado de Delaware</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para POSITANO TRADE LLC es National Registered Agents, Inc.,</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1209 de la calle Orange, Wilmington, DE 19801.</w:t>
      </w:r>
    </w:p>
    <w:p w:rsidR="006A4D59" w:rsidRPr="0067008A" w:rsidRDefault="00921711" w:rsidP="00DF4D8A">
      <w:pPr>
        <w:spacing w:after="240" w:line="360" w:lineRule="auto"/>
        <w:jc w:val="both"/>
        <w:rPr>
          <w:rFonts w:ascii="Times New Roman" w:hAnsi="Times New Roman" w:cs="Times New Roman"/>
          <w:i/>
          <w:lang w:val="es-ES"/>
        </w:rPr>
      </w:pPr>
      <w:r w:rsidRPr="0067008A">
        <w:rPr>
          <w:rFonts w:ascii="Times New Roman" w:hAnsi="Times New Roman" w:cs="Times New Roman"/>
          <w:i/>
          <w:lang w:val="es-ES"/>
        </w:rPr>
        <w:t>De</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conformidad con</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los registros de la Secretarla</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de</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Estado (Nueva York),</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la</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entidad</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 xml:space="preserve">fue formalmente </w:t>
      </w:r>
      <w:r w:rsidRPr="0067008A">
        <w:rPr>
          <w:rFonts w:ascii="Times New Roman" w:hAnsi="Times New Roman" w:cs="Times New Roman"/>
          <w:b/>
          <w:i/>
          <w:lang w:val="es-ES"/>
        </w:rPr>
        <w:t>disuelta el 15 de Octubre del 2015</w:t>
      </w:r>
      <w:r w:rsidRPr="0067008A">
        <w:rPr>
          <w:rFonts w:ascii="Times New Roman" w:hAnsi="Times New Roman" w:cs="Times New Roman"/>
          <w:i/>
          <w:lang w:val="es-ES"/>
        </w:rPr>
        <w:t>.</w:t>
      </w:r>
    </w:p>
    <w:p w:rsidR="006A4D59" w:rsidRPr="0067008A" w:rsidRDefault="00921711" w:rsidP="00DF4D8A">
      <w:pPr>
        <w:spacing w:after="240" w:line="360" w:lineRule="auto"/>
        <w:jc w:val="both"/>
        <w:rPr>
          <w:rFonts w:ascii="Times New Roman" w:hAnsi="Times New Roman" w:cs="Times New Roman"/>
          <w:i/>
          <w:lang w:val="es-ES"/>
        </w:rPr>
      </w:pPr>
      <w:r w:rsidRPr="0067008A">
        <w:rPr>
          <w:rFonts w:ascii="Times New Roman" w:hAnsi="Times New Roman" w:cs="Times New Roman"/>
          <w:i/>
          <w:lang w:val="es-ES"/>
        </w:rPr>
        <w:t>El certificado tiene fecha 26 de Agosto de 2020.</w:t>
      </w:r>
    </w:p>
    <w:p w:rsidR="006A4D59" w:rsidRPr="0067008A" w:rsidRDefault="00921711" w:rsidP="00DF4D8A">
      <w:pPr>
        <w:spacing w:after="240" w:line="360" w:lineRule="auto"/>
        <w:jc w:val="both"/>
        <w:rPr>
          <w:rFonts w:ascii="Times New Roman" w:hAnsi="Times New Roman" w:cs="Times New Roman"/>
          <w:b/>
          <w:i/>
          <w:lang w:val="es-EC"/>
        </w:rPr>
      </w:pPr>
      <w:r w:rsidRPr="0067008A">
        <w:rPr>
          <w:rFonts w:ascii="Times New Roman" w:hAnsi="Times New Roman" w:cs="Times New Roman"/>
          <w:b/>
          <w:i/>
          <w:lang w:val="es-EC"/>
        </w:rPr>
        <w:t>Acerca de FIDEICOMISO GLM.-</w:t>
      </w:r>
    </w:p>
    <w:p w:rsidR="006A4D59" w:rsidRPr="0067008A" w:rsidRDefault="00921711" w:rsidP="00DF4D8A">
      <w:pPr>
        <w:spacing w:after="240" w:line="360" w:lineRule="auto"/>
        <w:jc w:val="both"/>
        <w:rPr>
          <w:rFonts w:ascii="Times New Roman" w:hAnsi="Times New Roman" w:cs="Times New Roman"/>
          <w:lang w:val="es-EC"/>
        </w:rPr>
      </w:pPr>
      <w:r w:rsidRPr="0067008A">
        <w:rPr>
          <w:rFonts w:ascii="Times New Roman" w:hAnsi="Times New Roman" w:cs="Times New Roman"/>
          <w:lang w:val="es-EC"/>
        </w:rPr>
        <w:t xml:space="preserve">Dr. Calvas a foja 115 en referencia a afirmación de Díaz Asque en el proceso: </w:t>
      </w:r>
    </w:p>
    <w:p w:rsidR="006A4D59" w:rsidRPr="0067008A" w:rsidRDefault="00921711" w:rsidP="00D309DC">
      <w:pPr>
        <w:spacing w:after="240" w:line="360" w:lineRule="auto"/>
        <w:jc w:val="both"/>
        <w:rPr>
          <w:rFonts w:ascii="Times New Roman" w:hAnsi="Times New Roman" w:cs="Times New Roman"/>
          <w:lang w:val="es-EC"/>
        </w:rPr>
      </w:pPr>
      <w:r w:rsidRPr="0067008A">
        <w:rPr>
          <w:rFonts w:ascii="Times New Roman" w:hAnsi="Times New Roman" w:cs="Times New Roman"/>
          <w:i/>
          <w:lang w:val="es-EC"/>
        </w:rPr>
        <w:t>“</w:t>
      </w:r>
      <w:r w:rsidRPr="0067008A">
        <w:rPr>
          <w:rFonts w:ascii="Times New Roman" w:hAnsi="Times New Roman" w:cs="Times New Roman"/>
          <w:i/>
          <w:lang w:val="es-ES"/>
        </w:rPr>
        <w:t>El Fideicom.iso GLM es ecuatoriano,</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y es accionista</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de la Corporación Multibg S.A., que también es ecuatoriana”.</w:t>
      </w:r>
    </w:p>
    <w:p w:rsidR="006A4D59" w:rsidRPr="0067008A" w:rsidRDefault="00921711" w:rsidP="00D309DC">
      <w:pPr>
        <w:spacing w:after="240" w:line="360" w:lineRule="auto"/>
        <w:jc w:val="both"/>
        <w:rPr>
          <w:rFonts w:ascii="Times New Roman" w:hAnsi="Times New Roman" w:cs="Times New Roman"/>
          <w:i/>
          <w:lang w:val="es-ES"/>
        </w:rPr>
      </w:pPr>
      <w:r w:rsidRPr="0067008A">
        <w:rPr>
          <w:rFonts w:ascii="Times New Roman" w:hAnsi="Times New Roman" w:cs="Times New Roman"/>
          <w:i/>
          <w:lang w:val="es-ES"/>
        </w:rPr>
        <w:t>"Según la información que es pública en la Superintendencia de Compañías,</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el paquete accionario de MULTIBG S.A. (accionista mayoritario del Banco de Guayaquil), en la actualidad cuenta con 8 fideicomisos, que son los siguientes: ...</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 Y a continuación nombra siete entidades (no ocho), que son: Positano, Granada, Montpellier, Berlín, Cambridge, US Stretagic y Fideicomiso Cascol”.</w:t>
      </w:r>
    </w:p>
    <w:p w:rsidR="006A4D59" w:rsidRPr="0067008A" w:rsidRDefault="00921711" w:rsidP="00D309DC">
      <w:pPr>
        <w:spacing w:after="240" w:line="360" w:lineRule="auto"/>
        <w:jc w:val="both"/>
        <w:rPr>
          <w:rFonts w:ascii="Times New Roman" w:hAnsi="Times New Roman" w:cs="Times New Roman"/>
          <w:i/>
          <w:lang w:val="es-ES"/>
        </w:rPr>
      </w:pPr>
      <w:r w:rsidRPr="0067008A">
        <w:rPr>
          <w:rFonts w:ascii="Times New Roman" w:hAnsi="Times New Roman" w:cs="Times New Roman"/>
          <w:i/>
          <w:lang w:val="es-ES"/>
        </w:rPr>
        <w:t>“Resulta, señora Presidenta, que ninguna de esas entidades es "en la actualidad" accionista de la Corporación Multibg S.A.,…”.</w:t>
      </w:r>
    </w:p>
    <w:p w:rsidR="006A4D59" w:rsidRPr="0067008A" w:rsidRDefault="00921711" w:rsidP="00D309DC">
      <w:pPr>
        <w:spacing w:after="240" w:line="360" w:lineRule="auto"/>
        <w:jc w:val="both"/>
        <w:rPr>
          <w:rFonts w:ascii="Times New Roman" w:hAnsi="Times New Roman" w:cs="Times New Roman"/>
          <w:b/>
          <w:i/>
          <w:lang w:val="es-EC"/>
        </w:rPr>
      </w:pPr>
      <w:r w:rsidRPr="0067008A">
        <w:rPr>
          <w:rFonts w:ascii="Times New Roman" w:hAnsi="Times New Roman" w:cs="Times New Roman"/>
          <w:b/>
          <w:i/>
          <w:lang w:val="es-EC"/>
        </w:rPr>
        <w:t>Acerca de la Administradora de Fondos y Fideicomisos GENERATRUST S.A Y FIDEICOMISO GTSA S.A.-</w:t>
      </w:r>
    </w:p>
    <w:p w:rsidR="006A4D59" w:rsidRPr="0067008A" w:rsidRDefault="00921711" w:rsidP="00D309DC">
      <w:pPr>
        <w:spacing w:after="240" w:line="360" w:lineRule="auto"/>
        <w:jc w:val="both"/>
        <w:rPr>
          <w:rFonts w:ascii="Times New Roman" w:hAnsi="Times New Roman" w:cs="Times New Roman"/>
          <w:lang w:val="es-EC"/>
        </w:rPr>
      </w:pPr>
      <w:r w:rsidRPr="0067008A">
        <w:rPr>
          <w:rFonts w:ascii="Times New Roman" w:hAnsi="Times New Roman" w:cs="Times New Roman"/>
          <w:lang w:val="es-EC"/>
        </w:rPr>
        <w:t xml:space="preserve">Dr. Calvas a foja 115: </w:t>
      </w:r>
    </w:p>
    <w:p w:rsidR="006A4D59" w:rsidRPr="0067008A" w:rsidRDefault="00921711" w:rsidP="00D309DC">
      <w:pPr>
        <w:spacing w:after="240" w:line="360" w:lineRule="auto"/>
        <w:jc w:val="both"/>
        <w:rPr>
          <w:rFonts w:ascii="Times New Roman" w:hAnsi="Times New Roman" w:cs="Times New Roman"/>
          <w:i/>
          <w:lang w:val="es-ES"/>
        </w:rPr>
      </w:pPr>
      <w:r w:rsidRPr="0067008A">
        <w:rPr>
          <w:rFonts w:ascii="Times New Roman" w:hAnsi="Times New Roman" w:cs="Times New Roman"/>
          <w:i/>
          <w:lang w:val="es-ES"/>
        </w:rPr>
        <w:t>“En</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primer lugar,</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"Generatrust"</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y</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"GTSA" son la</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misma</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 xml:space="preserve">cosa, se llama "Generatrust Administradora de Fondos y Fideicomisos GTSA S.A."; en segundo lugar, es la fiduciaria (de nacionalidad ecuatoriana) del Fideicomiso GLM; en tercer lugar, y como es lógico, no fue creada por el Fideicomiso GLM; en cuarto lugar, la fiduciaria no es administrada por los hijos de Guillermo Lasso Mendoza, pues es absolutamente independiente; y en quinto lugar, </w:t>
      </w:r>
      <w:r w:rsidRPr="0067008A">
        <w:rPr>
          <w:rFonts w:ascii="Times New Roman" w:hAnsi="Times New Roman" w:cs="Times New Roman"/>
          <w:i/>
          <w:u w:val="single"/>
          <w:lang w:val="es-ES"/>
        </w:rPr>
        <w:t>el Fideicomiso GLM no tiene</w:t>
      </w:r>
      <w:r w:rsidRPr="0067008A">
        <w:rPr>
          <w:rFonts w:ascii="Times New Roman" w:hAnsi="Times New Roman" w:cs="Times New Roman"/>
          <w:i/>
          <w:lang w:val="es-ES"/>
        </w:rPr>
        <w:t xml:space="preserve"> como patrimonio ninguna "empresa offshore domiciliada en Panamá”.</w:t>
      </w:r>
      <w:r w:rsidR="00677E33" w:rsidRPr="0067008A">
        <w:rPr>
          <w:rFonts w:ascii="Times New Roman" w:hAnsi="Times New Roman" w:cs="Times New Roman"/>
          <w:i/>
          <w:lang w:val="es-ES"/>
        </w:rPr>
        <w:t xml:space="preserve"> </w:t>
      </w:r>
    </w:p>
    <w:p w:rsidR="006A4D59" w:rsidRPr="0067008A" w:rsidRDefault="00921711" w:rsidP="00D309DC">
      <w:pPr>
        <w:spacing w:after="240" w:line="360" w:lineRule="auto"/>
        <w:jc w:val="both"/>
        <w:rPr>
          <w:rFonts w:ascii="Times New Roman" w:hAnsi="Times New Roman" w:cs="Times New Roman"/>
          <w:b/>
          <w:i/>
        </w:rPr>
      </w:pPr>
      <w:r w:rsidRPr="0067008A">
        <w:rPr>
          <w:rFonts w:ascii="Times New Roman" w:hAnsi="Times New Roman" w:cs="Times New Roman"/>
          <w:b/>
          <w:i/>
        </w:rPr>
        <w:t>Acerca de BANISI HOLDING Y PIETRO ORVESEAS.-</w:t>
      </w:r>
      <w:r w:rsidR="00677E33" w:rsidRPr="0067008A">
        <w:rPr>
          <w:rFonts w:ascii="Times New Roman" w:hAnsi="Times New Roman" w:cs="Times New Roman"/>
          <w:b/>
          <w:i/>
        </w:rPr>
        <w:t xml:space="preserve"> </w:t>
      </w:r>
    </w:p>
    <w:p w:rsidR="006A4D59" w:rsidRPr="0067008A" w:rsidRDefault="00921711" w:rsidP="00D309DC">
      <w:pPr>
        <w:spacing w:after="240" w:line="360" w:lineRule="auto"/>
        <w:jc w:val="both"/>
        <w:rPr>
          <w:rFonts w:ascii="Times New Roman" w:hAnsi="Times New Roman" w:cs="Times New Roman"/>
          <w:lang w:val="es-EC"/>
        </w:rPr>
      </w:pPr>
      <w:r w:rsidRPr="0067008A">
        <w:rPr>
          <w:rFonts w:ascii="Times New Roman" w:hAnsi="Times New Roman" w:cs="Times New Roman"/>
          <w:lang w:val="es-EC"/>
        </w:rPr>
        <w:t xml:space="preserve">Dr. Calvas a foja 116: </w:t>
      </w:r>
    </w:p>
    <w:p w:rsidR="006A4D59" w:rsidRPr="0067008A" w:rsidRDefault="00921711" w:rsidP="00D309DC">
      <w:pPr>
        <w:spacing w:after="240" w:line="360" w:lineRule="auto"/>
        <w:jc w:val="both"/>
        <w:rPr>
          <w:rFonts w:ascii="Times New Roman" w:hAnsi="Times New Roman" w:cs="Times New Roman"/>
          <w:i/>
          <w:lang w:val="es-ES"/>
        </w:rPr>
      </w:pPr>
      <w:r w:rsidRPr="0067008A">
        <w:rPr>
          <w:rFonts w:ascii="Times New Roman" w:hAnsi="Times New Roman" w:cs="Times New Roman"/>
          <w:i/>
          <w:lang w:val="es-ES"/>
        </w:rPr>
        <w:t xml:space="preserve">“El caso es que Pietro se encuentra disuelta y por ende </w:t>
      </w:r>
      <w:r w:rsidRPr="0067008A">
        <w:rPr>
          <w:rFonts w:ascii="Times New Roman" w:hAnsi="Times New Roman" w:cs="Times New Roman"/>
          <w:i/>
          <w:u w:val="single"/>
          <w:lang w:val="es-ES"/>
        </w:rPr>
        <w:t>no tiene actual existencia jurídica,</w:t>
      </w:r>
      <w:r w:rsidRPr="0067008A">
        <w:rPr>
          <w:rFonts w:ascii="Times New Roman" w:hAnsi="Times New Roman" w:cs="Times New Roman"/>
          <w:i/>
          <w:lang w:val="es-ES"/>
        </w:rPr>
        <w:t xml:space="preserve"> tal y como se demuestra mediante el adjunto certificado</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emitido por autoridad competente”.</w:t>
      </w:r>
    </w:p>
    <w:p w:rsidR="006A4D59" w:rsidRPr="0067008A" w:rsidRDefault="00921711" w:rsidP="00D309DC">
      <w:pPr>
        <w:spacing w:after="240" w:line="360" w:lineRule="auto"/>
        <w:jc w:val="both"/>
        <w:rPr>
          <w:rFonts w:ascii="Times New Roman" w:hAnsi="Times New Roman" w:cs="Times New Roman"/>
          <w:i/>
          <w:lang w:val="es-ES"/>
        </w:rPr>
      </w:pPr>
      <w:r w:rsidRPr="0067008A">
        <w:rPr>
          <w:rFonts w:ascii="Times New Roman" w:hAnsi="Times New Roman" w:cs="Times New Roman"/>
          <w:i/>
          <w:lang w:val="es-ES"/>
        </w:rPr>
        <w:t xml:space="preserve">“Y, de otro lado, Guillermo Lasso Mendoza </w:t>
      </w:r>
      <w:r w:rsidRPr="0067008A">
        <w:rPr>
          <w:rFonts w:ascii="Times New Roman" w:hAnsi="Times New Roman" w:cs="Times New Roman"/>
          <w:i/>
          <w:u w:val="single"/>
          <w:lang w:val="es-ES"/>
        </w:rPr>
        <w:t>no tiene relación alguna con Banisi Holding</w:t>
      </w:r>
      <w:r w:rsidRPr="0067008A">
        <w:rPr>
          <w:rFonts w:ascii="Times New Roman" w:hAnsi="Times New Roman" w:cs="Times New Roman"/>
          <w:i/>
          <w:lang w:val="es-ES"/>
        </w:rPr>
        <w:t>, tal y como se demuestra</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mediante el adjunto certificado</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emitido por autoridad competente. Nótese que estos certificados son emitidos por el Registro Público de la República de Panamá, autoridad que sí es competente en esta materia”.</w:t>
      </w:r>
    </w:p>
    <w:p w:rsidR="006A4D59" w:rsidRPr="0067008A" w:rsidRDefault="00921711" w:rsidP="00D309DC">
      <w:pPr>
        <w:spacing w:after="240" w:line="360" w:lineRule="auto"/>
        <w:jc w:val="both"/>
        <w:rPr>
          <w:rFonts w:ascii="Times New Roman" w:hAnsi="Times New Roman" w:cs="Times New Roman"/>
          <w:lang w:val="es-EC"/>
        </w:rPr>
      </w:pPr>
      <w:r w:rsidRPr="0067008A">
        <w:rPr>
          <w:rFonts w:ascii="Times New Roman" w:hAnsi="Times New Roman" w:cs="Times New Roman"/>
          <w:lang w:val="es-EC"/>
        </w:rPr>
        <w:t>A foja 122 se encuentra el Certificado emitido el 16 de Septiembre de 2020 por el Registro Público de Panamá, suscrito por Gladys Evelia Jones Castillo, debidamente legalizado y apostillado y que entre otros aspectos señala:</w:t>
      </w:r>
    </w:p>
    <w:p w:rsidR="006A4D59" w:rsidRPr="0067008A" w:rsidRDefault="00921711" w:rsidP="00D309DC">
      <w:pPr>
        <w:spacing w:after="240" w:line="360" w:lineRule="auto"/>
        <w:jc w:val="both"/>
        <w:rPr>
          <w:rFonts w:ascii="Times New Roman" w:hAnsi="Times New Roman" w:cs="Times New Roman"/>
          <w:i/>
          <w:lang w:val="es-ES"/>
        </w:rPr>
      </w:pPr>
      <w:r w:rsidRPr="0067008A">
        <w:rPr>
          <w:rFonts w:ascii="Times New Roman" w:hAnsi="Times New Roman" w:cs="Times New Roman"/>
          <w:i/>
          <w:lang w:val="es-ES"/>
        </w:rPr>
        <w:t>Que la Sociedad PIETRO OVERSEAS S.A., es una sociedad anónima que tiene Registro Mercantil en</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folio No. 73503l (S) desde el martes, 10 de mayo de 2011.</w:t>
      </w:r>
    </w:p>
    <w:p w:rsidR="006A4D59" w:rsidRPr="0067008A" w:rsidRDefault="00921711" w:rsidP="00D309DC">
      <w:pPr>
        <w:spacing w:after="240" w:line="360" w:lineRule="auto"/>
        <w:jc w:val="both"/>
        <w:rPr>
          <w:rFonts w:ascii="Times New Roman" w:hAnsi="Times New Roman" w:cs="Times New Roman"/>
          <w:i/>
          <w:lang w:val="es-ES"/>
        </w:rPr>
      </w:pPr>
      <w:r w:rsidRPr="0067008A">
        <w:rPr>
          <w:rFonts w:ascii="Times New Roman" w:hAnsi="Times New Roman" w:cs="Times New Roman"/>
          <w:i/>
          <w:lang w:val="es-ES"/>
        </w:rPr>
        <w:t>Que la sociedad se encuentra disuelta.</w:t>
      </w:r>
    </w:p>
    <w:p w:rsidR="006A4D59" w:rsidRPr="0067008A" w:rsidRDefault="00921711" w:rsidP="00D309DC">
      <w:pPr>
        <w:spacing w:after="240" w:line="360" w:lineRule="auto"/>
        <w:jc w:val="both"/>
        <w:rPr>
          <w:rFonts w:ascii="Times New Roman" w:hAnsi="Times New Roman" w:cs="Times New Roman"/>
          <w:i/>
          <w:lang w:val="es-ES"/>
        </w:rPr>
      </w:pPr>
      <w:r w:rsidRPr="0067008A">
        <w:rPr>
          <w:rFonts w:ascii="Times New Roman" w:hAnsi="Times New Roman" w:cs="Times New Roman"/>
          <w:i/>
          <w:lang w:val="es-ES"/>
        </w:rPr>
        <w:t>Que sus cargos son:</w:t>
      </w:r>
    </w:p>
    <w:p w:rsidR="006A4D59" w:rsidRPr="0067008A" w:rsidRDefault="00921711" w:rsidP="00D309DC">
      <w:pPr>
        <w:spacing w:after="240" w:line="360" w:lineRule="auto"/>
        <w:jc w:val="both"/>
        <w:rPr>
          <w:rFonts w:ascii="Times New Roman" w:hAnsi="Times New Roman" w:cs="Times New Roman"/>
          <w:i/>
          <w:lang w:val="es-ES"/>
        </w:rPr>
      </w:pPr>
      <w:r w:rsidRPr="0067008A">
        <w:rPr>
          <w:rFonts w:ascii="Times New Roman" w:hAnsi="Times New Roman" w:cs="Times New Roman"/>
          <w:i/>
          <w:lang w:val="es-ES"/>
        </w:rPr>
        <w:t>SUSCRIPTOR: EDGARDO</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ELOY DIAZ</w:t>
      </w:r>
    </w:p>
    <w:p w:rsidR="006A4D59" w:rsidRPr="0067008A" w:rsidRDefault="00921711" w:rsidP="00D309DC">
      <w:pPr>
        <w:spacing w:after="240" w:line="360" w:lineRule="auto"/>
        <w:jc w:val="both"/>
        <w:rPr>
          <w:rFonts w:ascii="Times New Roman" w:hAnsi="Times New Roman" w:cs="Times New Roman"/>
          <w:i/>
          <w:lang w:val="es-ES"/>
        </w:rPr>
      </w:pPr>
      <w:r w:rsidRPr="0067008A">
        <w:rPr>
          <w:rFonts w:ascii="Times New Roman" w:hAnsi="Times New Roman" w:cs="Times New Roman"/>
          <w:i/>
          <w:lang w:val="es-ES"/>
        </w:rPr>
        <w:t>SUSCRIPTOR: FERNANDO ANTONIO GIL</w:t>
      </w:r>
    </w:p>
    <w:p w:rsidR="006A4D59" w:rsidRPr="0067008A" w:rsidRDefault="00921711" w:rsidP="00D309DC">
      <w:pPr>
        <w:spacing w:after="240" w:line="360" w:lineRule="auto"/>
        <w:jc w:val="both"/>
        <w:rPr>
          <w:rFonts w:ascii="Times New Roman" w:hAnsi="Times New Roman" w:cs="Times New Roman"/>
          <w:i/>
          <w:lang w:val="es-ES"/>
        </w:rPr>
      </w:pPr>
      <w:r w:rsidRPr="0067008A">
        <w:rPr>
          <w:rFonts w:ascii="Times New Roman" w:hAnsi="Times New Roman" w:cs="Times New Roman"/>
          <w:i/>
          <w:lang w:val="es-ES"/>
        </w:rPr>
        <w:t xml:space="preserve">AGENTE RESIDENTE: ALEMÁN, CORDERO, GALINDO &amp; LEE DIRECTOR/ SECRETARIO: GINA A. MARTINEZ G. </w:t>
      </w:r>
    </w:p>
    <w:p w:rsidR="006A4D59" w:rsidRPr="0067008A" w:rsidRDefault="00921711" w:rsidP="00D309DC">
      <w:pPr>
        <w:spacing w:after="240" w:line="360" w:lineRule="auto"/>
        <w:jc w:val="both"/>
        <w:rPr>
          <w:rFonts w:ascii="Times New Roman" w:hAnsi="Times New Roman" w:cs="Times New Roman"/>
          <w:i/>
          <w:lang w:val="es-ES"/>
        </w:rPr>
      </w:pPr>
      <w:r w:rsidRPr="0067008A">
        <w:rPr>
          <w:rFonts w:ascii="Times New Roman" w:hAnsi="Times New Roman" w:cs="Times New Roman"/>
          <w:i/>
          <w:lang w:val="es-ES"/>
        </w:rPr>
        <w:t>DIRECTOR/ TESORERO: FERNANDO A. GIL</w:t>
      </w:r>
    </w:p>
    <w:p w:rsidR="006A4D59" w:rsidRPr="0067008A" w:rsidRDefault="00921711" w:rsidP="00D309DC">
      <w:pPr>
        <w:spacing w:after="240" w:line="360" w:lineRule="auto"/>
        <w:jc w:val="both"/>
        <w:rPr>
          <w:rFonts w:ascii="Times New Roman" w:hAnsi="Times New Roman" w:cs="Times New Roman"/>
          <w:i/>
          <w:lang w:val="es-ES"/>
        </w:rPr>
      </w:pPr>
      <w:r w:rsidRPr="0067008A">
        <w:rPr>
          <w:rFonts w:ascii="Times New Roman" w:hAnsi="Times New Roman" w:cs="Times New Roman"/>
          <w:i/>
          <w:lang w:val="es-ES"/>
        </w:rPr>
        <w:t>DIRECTOR/ PRESIDENTE: MARCO A. SAN BERGUIDO</w:t>
      </w:r>
    </w:p>
    <w:p w:rsidR="006A4D59" w:rsidRPr="0067008A" w:rsidRDefault="00921711" w:rsidP="00D309DC">
      <w:pPr>
        <w:spacing w:after="240" w:line="360" w:lineRule="auto"/>
        <w:jc w:val="both"/>
        <w:rPr>
          <w:rFonts w:ascii="Times New Roman" w:hAnsi="Times New Roman" w:cs="Times New Roman"/>
          <w:i/>
          <w:lang w:val="es-ES"/>
        </w:rPr>
      </w:pPr>
      <w:r w:rsidRPr="0067008A">
        <w:rPr>
          <w:rFonts w:ascii="Times New Roman" w:hAnsi="Times New Roman" w:cs="Times New Roman"/>
          <w:i/>
          <w:lang w:val="es-ES"/>
        </w:rPr>
        <w:t>Que su capital es de 10,000.00</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dólares americanos</w:t>
      </w:r>
    </w:p>
    <w:p w:rsidR="006A4D59" w:rsidRPr="0067008A" w:rsidRDefault="00921711" w:rsidP="00D309DC">
      <w:pPr>
        <w:spacing w:after="240" w:line="360" w:lineRule="auto"/>
        <w:jc w:val="both"/>
        <w:rPr>
          <w:rFonts w:ascii="Times New Roman" w:hAnsi="Times New Roman" w:cs="Times New Roman"/>
          <w:i/>
          <w:lang w:val="es-ES"/>
        </w:rPr>
      </w:pPr>
      <w:r w:rsidRPr="0067008A">
        <w:rPr>
          <w:rFonts w:ascii="Times New Roman" w:hAnsi="Times New Roman" w:cs="Times New Roman"/>
          <w:i/>
          <w:lang w:val="es-ES"/>
        </w:rPr>
        <w:t>Que el capital de la sociedad</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es de diez mil polares americanos, divididos en diez mil acciones de un valor nominal de un dólar cada una.</w:t>
      </w:r>
    </w:p>
    <w:p w:rsidR="006A4D59" w:rsidRPr="0067008A" w:rsidRDefault="00921711" w:rsidP="00D309DC">
      <w:pPr>
        <w:spacing w:after="240" w:line="360" w:lineRule="auto"/>
        <w:jc w:val="both"/>
        <w:rPr>
          <w:rFonts w:ascii="Times New Roman" w:hAnsi="Times New Roman" w:cs="Times New Roman"/>
          <w:i/>
          <w:lang w:val="es-ES"/>
        </w:rPr>
      </w:pPr>
      <w:r w:rsidRPr="0067008A">
        <w:rPr>
          <w:rFonts w:ascii="Times New Roman" w:hAnsi="Times New Roman" w:cs="Times New Roman"/>
          <w:i/>
          <w:lang w:val="es-ES"/>
        </w:rPr>
        <w:t>Que sus acciones son nominativas.</w:t>
      </w:r>
    </w:p>
    <w:p w:rsidR="006A4D59" w:rsidRPr="0067008A" w:rsidRDefault="00921711" w:rsidP="00D309DC">
      <w:pPr>
        <w:spacing w:after="240" w:line="360" w:lineRule="auto"/>
        <w:jc w:val="both"/>
        <w:rPr>
          <w:rFonts w:ascii="Times New Roman" w:hAnsi="Times New Roman" w:cs="Times New Roman"/>
          <w:i/>
          <w:lang w:val="es-ES"/>
        </w:rPr>
      </w:pPr>
      <w:r w:rsidRPr="0067008A">
        <w:rPr>
          <w:rFonts w:ascii="Times New Roman" w:hAnsi="Times New Roman" w:cs="Times New Roman"/>
          <w:i/>
          <w:lang w:val="es-ES"/>
        </w:rPr>
        <w:t>Que su duración es perpetua.</w:t>
      </w:r>
    </w:p>
    <w:p w:rsidR="006A4D59" w:rsidRPr="0067008A" w:rsidRDefault="00921711" w:rsidP="00D309DC">
      <w:pPr>
        <w:spacing w:after="240" w:line="360" w:lineRule="auto"/>
        <w:jc w:val="both"/>
        <w:rPr>
          <w:rFonts w:ascii="Times New Roman" w:hAnsi="Times New Roman" w:cs="Times New Roman"/>
          <w:i/>
          <w:lang w:val="es-ES"/>
        </w:rPr>
      </w:pPr>
      <w:r w:rsidRPr="0067008A">
        <w:rPr>
          <w:rFonts w:ascii="Times New Roman" w:hAnsi="Times New Roman" w:cs="Times New Roman"/>
          <w:i/>
          <w:lang w:val="es-ES"/>
        </w:rPr>
        <w:t>Que su domicilio es Panamá, provincia Panamá.</w:t>
      </w:r>
    </w:p>
    <w:p w:rsidR="006A4D59" w:rsidRPr="0067008A" w:rsidRDefault="00921711" w:rsidP="00D309DC">
      <w:pPr>
        <w:spacing w:after="240" w:line="360" w:lineRule="auto"/>
        <w:jc w:val="both"/>
        <w:rPr>
          <w:rFonts w:ascii="Times New Roman" w:hAnsi="Times New Roman" w:cs="Times New Roman"/>
          <w:i/>
          <w:lang w:val="es-ES"/>
        </w:rPr>
      </w:pPr>
      <w:r w:rsidRPr="0067008A">
        <w:rPr>
          <w:rFonts w:ascii="Times New Roman" w:hAnsi="Times New Roman" w:cs="Times New Roman"/>
          <w:i/>
          <w:lang w:val="es-ES"/>
        </w:rPr>
        <w:t xml:space="preserve">Que se hace la disolución de esta sociedad mediante Escritura Pública Nº 3723 de </w:t>
      </w:r>
      <w:r w:rsidRPr="0067008A">
        <w:rPr>
          <w:rFonts w:ascii="Times New Roman" w:hAnsi="Times New Roman" w:cs="Times New Roman"/>
          <w:i/>
          <w:u w:val="single"/>
          <w:lang w:val="es-ES"/>
        </w:rPr>
        <w:t>14 de Septiembre de 2020</w:t>
      </w:r>
      <w:r w:rsidRPr="0067008A">
        <w:rPr>
          <w:rFonts w:ascii="Times New Roman" w:hAnsi="Times New Roman" w:cs="Times New Roman"/>
          <w:i/>
          <w:lang w:val="es-ES"/>
        </w:rPr>
        <w:t xml:space="preserve"> de la Notaría Pública Quinta del circuito de Panamá. INSCRITO EL DÍA LUNES </w:t>
      </w:r>
      <w:r w:rsidRPr="0067008A">
        <w:rPr>
          <w:rFonts w:ascii="Times New Roman" w:hAnsi="Times New Roman" w:cs="Times New Roman"/>
          <w:i/>
          <w:u w:val="single"/>
          <w:lang w:val="es-ES"/>
        </w:rPr>
        <w:t>14 DE SEPTIEMBRE DE 2020</w:t>
      </w:r>
      <w:r w:rsidRPr="0067008A">
        <w:rPr>
          <w:rFonts w:ascii="Times New Roman" w:hAnsi="Times New Roman" w:cs="Times New Roman"/>
          <w:i/>
          <w:lang w:val="es-ES"/>
        </w:rPr>
        <w:t xml:space="preserve"> en el número de entrada 217774/2020 (0).</w:t>
      </w:r>
    </w:p>
    <w:p w:rsidR="006A4D59" w:rsidRPr="0067008A" w:rsidRDefault="00921711" w:rsidP="00D309DC">
      <w:pPr>
        <w:spacing w:after="240" w:line="360" w:lineRule="auto"/>
        <w:jc w:val="both"/>
        <w:rPr>
          <w:rFonts w:ascii="Times New Roman" w:hAnsi="Times New Roman" w:cs="Times New Roman"/>
          <w:lang w:val="es-EC"/>
        </w:rPr>
      </w:pPr>
      <w:r w:rsidRPr="0067008A">
        <w:rPr>
          <w:rFonts w:ascii="Times New Roman" w:hAnsi="Times New Roman" w:cs="Times New Roman"/>
          <w:lang w:val="es-EC"/>
        </w:rPr>
        <w:t>A foja 123 se encuentra el Certificado emitido por el Registrador Público de Panamá con fecha 26 de Agosto de 2020, debidamente legalizado y apostillado, suscrito por Gertrudis Bethancourt Guzmán, mismo que entre otros aspectos señala:</w:t>
      </w:r>
    </w:p>
    <w:p w:rsidR="006A4D59" w:rsidRPr="0067008A" w:rsidRDefault="00921711" w:rsidP="00D309DC">
      <w:pPr>
        <w:spacing w:after="240" w:line="360" w:lineRule="auto"/>
        <w:jc w:val="both"/>
        <w:rPr>
          <w:rFonts w:ascii="Times New Roman" w:hAnsi="Times New Roman" w:cs="Times New Roman"/>
          <w:i/>
          <w:lang w:val="es-EC"/>
        </w:rPr>
      </w:pPr>
      <w:r w:rsidRPr="0067008A">
        <w:rPr>
          <w:rFonts w:ascii="Times New Roman" w:hAnsi="Times New Roman" w:cs="Times New Roman"/>
          <w:i/>
          <w:lang w:val="es-EC"/>
        </w:rPr>
        <w:t>Que BANISI HOLDING es una Sociedad Anónima</w:t>
      </w:r>
    </w:p>
    <w:p w:rsidR="006A4D59" w:rsidRPr="0067008A" w:rsidRDefault="00921711" w:rsidP="00D309DC">
      <w:pPr>
        <w:spacing w:after="240" w:line="360" w:lineRule="auto"/>
        <w:jc w:val="both"/>
        <w:rPr>
          <w:rFonts w:ascii="Times New Roman" w:hAnsi="Times New Roman" w:cs="Times New Roman"/>
          <w:i/>
          <w:lang w:val="es-ES"/>
        </w:rPr>
      </w:pPr>
      <w:r w:rsidRPr="0067008A">
        <w:rPr>
          <w:rFonts w:ascii="Times New Roman" w:hAnsi="Times New Roman" w:cs="Times New Roman"/>
          <w:i/>
          <w:lang w:val="es-ES"/>
        </w:rPr>
        <w:t>Que se encuentra registrada en (mercantil) folio No. 788480 (S)</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desde el martes, 04</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de diciembre de 2012.</w:t>
      </w:r>
    </w:p>
    <w:p w:rsidR="006A4D59" w:rsidRPr="0067008A" w:rsidRDefault="00921711" w:rsidP="00D309DC">
      <w:pPr>
        <w:spacing w:after="240" w:line="360" w:lineRule="auto"/>
        <w:jc w:val="both"/>
        <w:rPr>
          <w:rFonts w:ascii="Times New Roman" w:hAnsi="Times New Roman" w:cs="Times New Roman"/>
          <w:i/>
          <w:lang w:val="es-ES"/>
        </w:rPr>
      </w:pPr>
      <w:r w:rsidRPr="0067008A">
        <w:rPr>
          <w:rFonts w:ascii="Times New Roman" w:hAnsi="Times New Roman" w:cs="Times New Roman"/>
          <w:i/>
          <w:lang w:val="es-ES"/>
        </w:rPr>
        <w:t>Que la sociedad se encuentra Vigente.</w:t>
      </w:r>
    </w:p>
    <w:p w:rsidR="006A4D59" w:rsidRPr="0067008A" w:rsidRDefault="00921711" w:rsidP="00D309DC">
      <w:pPr>
        <w:spacing w:after="240" w:line="360" w:lineRule="auto"/>
        <w:jc w:val="both"/>
        <w:rPr>
          <w:rFonts w:ascii="Times New Roman" w:hAnsi="Times New Roman" w:cs="Times New Roman"/>
          <w:i/>
          <w:lang w:val="es-ES"/>
        </w:rPr>
      </w:pPr>
      <w:r w:rsidRPr="0067008A">
        <w:rPr>
          <w:rFonts w:ascii="Times New Roman" w:hAnsi="Times New Roman" w:cs="Times New Roman"/>
          <w:i/>
          <w:lang w:val="es-ES"/>
        </w:rPr>
        <w:t>Que sus cargos son:</w:t>
      </w:r>
    </w:p>
    <w:p w:rsidR="00D309DC" w:rsidRPr="0067008A" w:rsidRDefault="00921711" w:rsidP="00D309DC">
      <w:pPr>
        <w:spacing w:after="240" w:line="360" w:lineRule="auto"/>
        <w:jc w:val="both"/>
        <w:rPr>
          <w:rFonts w:ascii="Times New Roman" w:hAnsi="Times New Roman" w:cs="Times New Roman"/>
          <w:i/>
          <w:lang w:val="es-ES"/>
        </w:rPr>
      </w:pPr>
      <w:r w:rsidRPr="0067008A">
        <w:rPr>
          <w:rFonts w:ascii="Times New Roman" w:hAnsi="Times New Roman" w:cs="Times New Roman"/>
          <w:i/>
          <w:lang w:val="es-ES"/>
        </w:rPr>
        <w:t xml:space="preserve">SUSCRIPTOR: EMMA LINA MARTÍNEZ </w:t>
      </w:r>
    </w:p>
    <w:p w:rsidR="006A4D59" w:rsidRPr="0067008A" w:rsidRDefault="00921711" w:rsidP="00D309DC">
      <w:pPr>
        <w:spacing w:after="240" w:line="360" w:lineRule="auto"/>
        <w:jc w:val="both"/>
        <w:rPr>
          <w:rFonts w:ascii="Times New Roman" w:hAnsi="Times New Roman" w:cs="Times New Roman"/>
          <w:i/>
          <w:lang w:val="es-ES"/>
        </w:rPr>
      </w:pPr>
      <w:r w:rsidRPr="0067008A">
        <w:rPr>
          <w:rFonts w:ascii="Times New Roman" w:hAnsi="Times New Roman" w:cs="Times New Roman"/>
          <w:i/>
          <w:lang w:val="es-ES"/>
        </w:rPr>
        <w:t>SUSCRIPTOR: ELBA FERNANDEZ DE GARCIA</w:t>
      </w:r>
    </w:p>
    <w:p w:rsidR="006A4D59" w:rsidRPr="0067008A" w:rsidRDefault="006A4D59" w:rsidP="00677E33">
      <w:pPr>
        <w:spacing w:after="240" w:line="360" w:lineRule="auto"/>
        <w:ind w:left="2880"/>
        <w:jc w:val="both"/>
        <w:rPr>
          <w:rFonts w:ascii="Times New Roman" w:hAnsi="Times New Roman" w:cs="Times New Roman"/>
          <w:i/>
          <w:lang w:val="es-ES"/>
        </w:rPr>
      </w:pPr>
    </w:p>
    <w:p w:rsidR="006A4D59" w:rsidRPr="0067008A" w:rsidRDefault="00921711" w:rsidP="00D309DC">
      <w:pPr>
        <w:spacing w:after="240" w:line="360" w:lineRule="auto"/>
        <w:jc w:val="both"/>
        <w:rPr>
          <w:rFonts w:ascii="Times New Roman" w:hAnsi="Times New Roman" w:cs="Times New Roman"/>
          <w:i/>
          <w:lang w:val="es-ES"/>
        </w:rPr>
      </w:pPr>
      <w:r w:rsidRPr="0067008A">
        <w:rPr>
          <w:rFonts w:ascii="Times New Roman" w:hAnsi="Times New Roman" w:cs="Times New Roman"/>
          <w:i/>
          <w:lang w:val="es-ES"/>
        </w:rPr>
        <w:t>DIRECTOR/PRESIDENTE:</w:t>
      </w:r>
      <w:r w:rsidR="0060244B" w:rsidRPr="0067008A">
        <w:rPr>
          <w:rFonts w:ascii="Times New Roman" w:hAnsi="Times New Roman" w:cs="Times New Roman"/>
          <w:i/>
          <w:lang w:val="es-ES"/>
        </w:rPr>
        <w:t xml:space="preserve"> </w:t>
      </w:r>
      <w:r w:rsidRPr="0067008A">
        <w:rPr>
          <w:rFonts w:ascii="Times New Roman" w:hAnsi="Times New Roman" w:cs="Times New Roman"/>
          <w:i/>
          <w:lang w:val="es-ES"/>
        </w:rPr>
        <w:t>SANTIAGO XAVIER LASSO ALCÍVAR DIRECTOR/ SECRETARIO:</w:t>
      </w:r>
      <w:r w:rsidR="0060244B" w:rsidRPr="0067008A">
        <w:rPr>
          <w:rFonts w:ascii="Times New Roman" w:hAnsi="Times New Roman" w:cs="Times New Roman"/>
          <w:i/>
          <w:lang w:val="es-ES"/>
        </w:rPr>
        <w:t xml:space="preserve"> </w:t>
      </w:r>
      <w:r w:rsidRPr="0067008A">
        <w:rPr>
          <w:rFonts w:ascii="Times New Roman" w:hAnsi="Times New Roman" w:cs="Times New Roman"/>
          <w:i/>
          <w:lang w:val="es-ES"/>
        </w:rPr>
        <w:t>JUAN EMILIO LASSO ALCÍVAR DIRECTOR/ TESORERO: CARLOS JORGE LASSO MENDOZA</w:t>
      </w:r>
    </w:p>
    <w:p w:rsidR="006A4D59" w:rsidRPr="0067008A" w:rsidRDefault="00921711" w:rsidP="00D309DC">
      <w:pPr>
        <w:spacing w:after="240" w:line="360" w:lineRule="auto"/>
        <w:jc w:val="both"/>
        <w:rPr>
          <w:rFonts w:ascii="Times New Roman" w:hAnsi="Times New Roman" w:cs="Times New Roman"/>
          <w:i/>
          <w:lang w:val="es-ES"/>
        </w:rPr>
      </w:pPr>
      <w:r w:rsidRPr="0067008A">
        <w:rPr>
          <w:rFonts w:ascii="Times New Roman" w:hAnsi="Times New Roman" w:cs="Times New Roman"/>
          <w:i/>
          <w:lang w:val="es-ES"/>
        </w:rPr>
        <w:t>AGENTE RESIDENTE:</w:t>
      </w:r>
      <w:r w:rsidRPr="0067008A">
        <w:rPr>
          <w:rFonts w:ascii="Times New Roman" w:hAnsi="Times New Roman" w:cs="Times New Roman"/>
          <w:color w:val="4B494F"/>
          <w:w w:val="84"/>
          <w:lang w:val="es-ES"/>
        </w:rPr>
        <w:t xml:space="preserve"> </w:t>
      </w:r>
      <w:r w:rsidRPr="0067008A">
        <w:rPr>
          <w:rFonts w:ascii="Times New Roman" w:hAnsi="Times New Roman" w:cs="Times New Roman"/>
          <w:i/>
          <w:lang w:val="es-ES"/>
        </w:rPr>
        <w:t>SUCRE, ARIAS &amp; REYES</w:t>
      </w:r>
    </w:p>
    <w:p w:rsidR="006A4D59" w:rsidRPr="0067008A" w:rsidRDefault="00921711" w:rsidP="00D309DC">
      <w:pPr>
        <w:spacing w:after="240" w:line="360" w:lineRule="auto"/>
        <w:jc w:val="both"/>
        <w:rPr>
          <w:rFonts w:ascii="Times New Roman" w:hAnsi="Times New Roman" w:cs="Times New Roman"/>
          <w:i/>
          <w:lang w:val="es-ES"/>
        </w:rPr>
      </w:pPr>
      <w:r w:rsidRPr="0067008A">
        <w:rPr>
          <w:rFonts w:ascii="Times New Roman" w:hAnsi="Times New Roman" w:cs="Times New Roman"/>
          <w:i/>
          <w:lang w:val="es-ES"/>
        </w:rPr>
        <w:t>QUE SU CAPITAL ES DE 60,000,000.00 DÓLARES AMERICANOS.</w:t>
      </w:r>
    </w:p>
    <w:p w:rsidR="006A4D59" w:rsidRPr="0067008A" w:rsidRDefault="00921711" w:rsidP="00D309DC">
      <w:pPr>
        <w:spacing w:after="240" w:line="360" w:lineRule="auto"/>
        <w:jc w:val="both"/>
        <w:rPr>
          <w:rFonts w:ascii="Times New Roman" w:hAnsi="Times New Roman" w:cs="Times New Roman"/>
          <w:i/>
          <w:lang w:val="es-ES"/>
        </w:rPr>
      </w:pPr>
      <w:r w:rsidRPr="0067008A">
        <w:rPr>
          <w:rFonts w:ascii="Times New Roman" w:hAnsi="Times New Roman" w:cs="Times New Roman"/>
          <w:i/>
          <w:lang w:val="es-ES"/>
        </w:rPr>
        <w:t>Que el capital</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social</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de la sociedad será de sesenta millones de dólares (US $60,000,000.00)</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moneda de curso legal</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de los Estados</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Unidos</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de América. Acciones: nominativas.</w:t>
      </w:r>
    </w:p>
    <w:p w:rsidR="006A4D59" w:rsidRPr="0067008A" w:rsidRDefault="00921711" w:rsidP="00D309DC">
      <w:pPr>
        <w:spacing w:after="240" w:line="360" w:lineRule="auto"/>
        <w:jc w:val="both"/>
        <w:rPr>
          <w:rFonts w:ascii="Times New Roman" w:hAnsi="Times New Roman" w:cs="Times New Roman"/>
          <w:i/>
          <w:lang w:val="es-ES"/>
        </w:rPr>
      </w:pPr>
      <w:r w:rsidRPr="0067008A">
        <w:rPr>
          <w:rFonts w:ascii="Times New Roman" w:hAnsi="Times New Roman" w:cs="Times New Roman"/>
          <w:i/>
          <w:lang w:val="es-ES"/>
        </w:rPr>
        <w:t>Que su duración es perpetua</w:t>
      </w:r>
    </w:p>
    <w:p w:rsidR="006A4D59" w:rsidRPr="0067008A" w:rsidRDefault="00921711" w:rsidP="00D309DC">
      <w:pPr>
        <w:spacing w:after="240" w:line="360" w:lineRule="auto"/>
        <w:jc w:val="both"/>
        <w:rPr>
          <w:rFonts w:ascii="Times New Roman" w:hAnsi="Times New Roman" w:cs="Times New Roman"/>
          <w:i/>
          <w:lang w:val="es-ES"/>
        </w:rPr>
      </w:pPr>
      <w:r w:rsidRPr="0067008A">
        <w:rPr>
          <w:rFonts w:ascii="Times New Roman" w:hAnsi="Times New Roman" w:cs="Times New Roman"/>
          <w:i/>
          <w:lang w:val="es-ES"/>
        </w:rPr>
        <w:t>Que su domicilio es Panamá, distrito Panamá, provincia Panamá</w:t>
      </w:r>
    </w:p>
    <w:p w:rsidR="006A4D59" w:rsidRPr="0067008A" w:rsidRDefault="00921711" w:rsidP="00D309DC">
      <w:pPr>
        <w:spacing w:after="240" w:line="360" w:lineRule="auto"/>
        <w:jc w:val="both"/>
        <w:rPr>
          <w:rFonts w:ascii="Times New Roman" w:hAnsi="Times New Roman" w:cs="Times New Roman"/>
          <w:b/>
          <w:i/>
        </w:rPr>
      </w:pPr>
      <w:r w:rsidRPr="0067008A">
        <w:rPr>
          <w:rFonts w:ascii="Times New Roman" w:hAnsi="Times New Roman" w:cs="Times New Roman"/>
          <w:b/>
          <w:i/>
        </w:rPr>
        <w:t>Acerca de BANISI.-</w:t>
      </w:r>
    </w:p>
    <w:p w:rsidR="006A4D59" w:rsidRPr="0067008A" w:rsidRDefault="00921711" w:rsidP="00D309DC">
      <w:pPr>
        <w:spacing w:after="240" w:line="360" w:lineRule="auto"/>
        <w:jc w:val="both"/>
        <w:rPr>
          <w:rFonts w:ascii="Times New Roman" w:hAnsi="Times New Roman" w:cs="Times New Roman"/>
          <w:lang w:val="es-EC"/>
        </w:rPr>
      </w:pPr>
      <w:r w:rsidRPr="0067008A">
        <w:rPr>
          <w:rFonts w:ascii="Times New Roman" w:hAnsi="Times New Roman" w:cs="Times New Roman"/>
          <w:lang w:val="es-EC"/>
        </w:rPr>
        <w:t xml:space="preserve">Dr. Calvas a foja 117: </w:t>
      </w:r>
    </w:p>
    <w:p w:rsidR="006A4D59" w:rsidRPr="0067008A" w:rsidRDefault="00921711" w:rsidP="00D309DC">
      <w:pPr>
        <w:spacing w:after="240" w:line="360" w:lineRule="auto"/>
        <w:jc w:val="both"/>
        <w:rPr>
          <w:rFonts w:ascii="Times New Roman" w:hAnsi="Times New Roman" w:cs="Times New Roman"/>
          <w:i/>
          <w:lang w:val="es-ES"/>
        </w:rPr>
      </w:pPr>
      <w:r w:rsidRPr="0067008A">
        <w:rPr>
          <w:rFonts w:ascii="Times New Roman" w:hAnsi="Times New Roman" w:cs="Times New Roman"/>
          <w:i/>
          <w:lang w:val="es-ES"/>
        </w:rPr>
        <w:t>“El objetante pretende vincular a nuestro candidato con la entidad Banisi, sin aportar, otra vez, ninguna prueba para ello. Lo que hace aquí es repetir (a) la misma información sobre Pietro</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y Banisi</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Holding</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que,</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como</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vimos,</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no procede de fuente</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oficial</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y ha sido completamente desvirtuada mediante los certificados de autoridad competente que sobre esas entidades se adjuntan…</w:t>
      </w:r>
      <w:r w:rsidRPr="0067008A">
        <w:rPr>
          <w:rFonts w:ascii="Times New Roman" w:eastAsia="Times New Roman" w:hAnsi="Times New Roman" w:cs="Times New Roman"/>
          <w:color w:val="6E6D73"/>
          <w:lang w:val="es-ES"/>
        </w:rPr>
        <w:t xml:space="preserve"> </w:t>
      </w:r>
      <w:r w:rsidRPr="0067008A">
        <w:rPr>
          <w:rFonts w:ascii="Times New Roman" w:hAnsi="Times New Roman" w:cs="Times New Roman"/>
          <w:i/>
          <w:lang w:val="es-ES"/>
        </w:rPr>
        <w:t>Por lo tanto, toda vez que el objetante no aportó ninguna prueba sobre estos particulares, el presente cargo es totalmente improcedente y carente de todo mérito”.</w:t>
      </w:r>
    </w:p>
    <w:p w:rsidR="006A4D59" w:rsidRPr="0067008A" w:rsidRDefault="00921711" w:rsidP="00D309DC">
      <w:pPr>
        <w:spacing w:after="240" w:line="360" w:lineRule="auto"/>
        <w:jc w:val="both"/>
        <w:rPr>
          <w:rFonts w:ascii="Times New Roman" w:hAnsi="Times New Roman" w:cs="Times New Roman"/>
          <w:b/>
          <w:i/>
        </w:rPr>
      </w:pPr>
      <w:r w:rsidRPr="0067008A">
        <w:rPr>
          <w:rFonts w:ascii="Times New Roman" w:hAnsi="Times New Roman" w:cs="Times New Roman"/>
          <w:b/>
          <w:i/>
        </w:rPr>
        <w:t>Acerca de las NORAS.-</w:t>
      </w:r>
    </w:p>
    <w:p w:rsidR="006A4D59" w:rsidRPr="0067008A" w:rsidRDefault="00921711" w:rsidP="00D309DC">
      <w:pPr>
        <w:spacing w:after="240" w:line="360" w:lineRule="auto"/>
        <w:jc w:val="both"/>
        <w:rPr>
          <w:rFonts w:ascii="Times New Roman" w:hAnsi="Times New Roman" w:cs="Times New Roman"/>
          <w:lang w:val="es-EC"/>
        </w:rPr>
      </w:pPr>
      <w:r w:rsidRPr="0067008A">
        <w:rPr>
          <w:rFonts w:ascii="Times New Roman" w:hAnsi="Times New Roman" w:cs="Times New Roman"/>
          <w:lang w:val="es-EC"/>
        </w:rPr>
        <w:t>Dr. Calvas a foja 117:</w:t>
      </w:r>
    </w:p>
    <w:p w:rsidR="006A4D59" w:rsidRPr="0067008A" w:rsidRDefault="00921711" w:rsidP="00D309DC">
      <w:pPr>
        <w:spacing w:after="240" w:line="360" w:lineRule="auto"/>
        <w:jc w:val="both"/>
        <w:rPr>
          <w:rFonts w:ascii="Times New Roman" w:hAnsi="Times New Roman" w:cs="Times New Roman"/>
          <w:i/>
          <w:lang w:val="es-ES"/>
        </w:rPr>
      </w:pPr>
      <w:r w:rsidRPr="0067008A">
        <w:rPr>
          <w:rFonts w:ascii="Times New Roman" w:hAnsi="Times New Roman" w:cs="Times New Roman"/>
          <w:i/>
          <w:lang w:val="es-ES"/>
        </w:rPr>
        <w:t>“Dice el objetante que nuestro candidato dizque tendría relación con unas sociedades llamadas: Malena US LLC,</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Malena Uno US LLC, Nora Invenstments LLC, Nora Invenstments Uno LLC,</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Nora Invenstments Dos LLC,</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Nora Invenstments Tres LLC,</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Nora Invenstments Cuatro LLC,</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Nora Invenstments Cinco LLC,</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Nora Invenstments Siete LLC,</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Nora Invenstments Ocho LLC,</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Nora Invenstments Nueve LLC,</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Nora Invenstments Diez LLC, Nora Invenstments Doce LLC”.</w:t>
      </w:r>
    </w:p>
    <w:p w:rsidR="006A4D59" w:rsidRPr="0067008A" w:rsidRDefault="00921711" w:rsidP="00D309DC">
      <w:pPr>
        <w:spacing w:after="240" w:line="360" w:lineRule="auto"/>
        <w:jc w:val="both"/>
        <w:rPr>
          <w:rFonts w:ascii="Times New Roman" w:hAnsi="Times New Roman" w:cs="Times New Roman"/>
          <w:i/>
          <w:u w:val="single"/>
          <w:lang w:val="es-ES"/>
        </w:rPr>
      </w:pPr>
      <w:r w:rsidRPr="0067008A">
        <w:rPr>
          <w:rFonts w:ascii="Times New Roman" w:hAnsi="Times New Roman" w:cs="Times New Roman"/>
          <w:i/>
          <w:lang w:val="es-ES"/>
        </w:rPr>
        <w:t xml:space="preserve">“El objetante no ha presentado absolutamente ninguna prueba que demuestre sus aseveraciones… Por lo tanto, baste a este respecto afirmar que el señor Guillermo Lasso Mendoza </w:t>
      </w:r>
      <w:r w:rsidRPr="0067008A">
        <w:rPr>
          <w:rFonts w:ascii="Times New Roman" w:hAnsi="Times New Roman" w:cs="Times New Roman"/>
          <w:i/>
          <w:u w:val="single"/>
          <w:lang w:val="es-ES"/>
        </w:rPr>
        <w:t>no tiene ninguna relación</w:t>
      </w:r>
      <w:r w:rsidRPr="0067008A">
        <w:rPr>
          <w:rFonts w:ascii="Times New Roman" w:hAnsi="Times New Roman" w:cs="Times New Roman"/>
          <w:i/>
          <w:lang w:val="es-ES"/>
        </w:rPr>
        <w:t xml:space="preserve">, </w:t>
      </w:r>
      <w:r w:rsidRPr="0067008A">
        <w:rPr>
          <w:rFonts w:ascii="Times New Roman" w:hAnsi="Times New Roman" w:cs="Times New Roman"/>
          <w:i/>
          <w:u w:val="single"/>
          <w:lang w:val="es-ES"/>
        </w:rPr>
        <w:t>de ninguna naturaleza, con esas entidades”.</w:t>
      </w:r>
      <w:r w:rsidR="00677E33" w:rsidRPr="0067008A">
        <w:rPr>
          <w:rFonts w:ascii="Times New Roman" w:hAnsi="Times New Roman" w:cs="Times New Roman"/>
          <w:i/>
          <w:u w:val="single"/>
          <w:lang w:val="es-ES"/>
        </w:rPr>
        <w:t xml:space="preserve"> </w:t>
      </w:r>
    </w:p>
    <w:p w:rsidR="006A4D59" w:rsidRPr="0067008A" w:rsidRDefault="00677E33" w:rsidP="00677E33">
      <w:pPr>
        <w:spacing w:after="240" w:line="360" w:lineRule="auto"/>
        <w:ind w:left="1440"/>
        <w:jc w:val="both"/>
        <w:rPr>
          <w:rFonts w:ascii="Times New Roman" w:hAnsi="Times New Roman" w:cs="Times New Roman"/>
          <w:lang w:val="es-EC"/>
        </w:rPr>
      </w:pPr>
      <w:r w:rsidRPr="0067008A">
        <w:rPr>
          <w:rFonts w:ascii="Times New Roman" w:hAnsi="Times New Roman" w:cs="Times New Roman"/>
          <w:lang w:val="es-EC"/>
        </w:rPr>
        <w:t xml:space="preserve"> </w:t>
      </w:r>
    </w:p>
    <w:p w:rsidR="006A4D59" w:rsidRPr="0067008A" w:rsidRDefault="00921711" w:rsidP="00D309DC">
      <w:pPr>
        <w:spacing w:after="240" w:line="360" w:lineRule="auto"/>
        <w:jc w:val="both"/>
        <w:rPr>
          <w:rFonts w:ascii="Times New Roman" w:hAnsi="Times New Roman" w:cs="Times New Roman"/>
          <w:b/>
          <w:i/>
        </w:rPr>
      </w:pPr>
      <w:r w:rsidRPr="0067008A">
        <w:rPr>
          <w:rFonts w:ascii="Times New Roman" w:hAnsi="Times New Roman" w:cs="Times New Roman"/>
          <w:b/>
          <w:i/>
        </w:rPr>
        <w:t>Acerca de BROTHERS y SOUTH PACIFIC.-</w:t>
      </w:r>
      <w:r w:rsidR="00677E33" w:rsidRPr="0067008A">
        <w:rPr>
          <w:rFonts w:ascii="Times New Roman" w:hAnsi="Times New Roman" w:cs="Times New Roman"/>
          <w:b/>
          <w:i/>
        </w:rPr>
        <w:t xml:space="preserve"> </w:t>
      </w:r>
    </w:p>
    <w:p w:rsidR="006A4D59" w:rsidRPr="0067008A" w:rsidRDefault="00921711" w:rsidP="00D309DC">
      <w:pPr>
        <w:spacing w:after="240" w:line="360" w:lineRule="auto"/>
        <w:jc w:val="both"/>
        <w:rPr>
          <w:rFonts w:ascii="Times New Roman" w:hAnsi="Times New Roman" w:cs="Times New Roman"/>
          <w:i/>
          <w:lang w:val="es-ES"/>
        </w:rPr>
      </w:pPr>
      <w:r w:rsidRPr="0067008A">
        <w:rPr>
          <w:rFonts w:ascii="Times New Roman" w:hAnsi="Times New Roman" w:cs="Times New Roman"/>
          <w:i/>
          <w:lang w:val="es-ES"/>
        </w:rPr>
        <w:t xml:space="preserve">“Respecto de la entidad denominada Brothers, ésta se encuentra disuelta y por ende </w:t>
      </w:r>
      <w:r w:rsidRPr="0067008A">
        <w:rPr>
          <w:rFonts w:ascii="Times New Roman" w:hAnsi="Times New Roman" w:cs="Times New Roman"/>
          <w:i/>
          <w:u w:val="single"/>
          <w:lang w:val="es-ES"/>
        </w:rPr>
        <w:t>no tiene actual existencia jurídica</w:t>
      </w:r>
      <w:r w:rsidRPr="0067008A">
        <w:rPr>
          <w:rFonts w:ascii="Times New Roman" w:hAnsi="Times New Roman" w:cs="Times New Roman"/>
          <w:i/>
          <w:lang w:val="es-ES"/>
        </w:rPr>
        <w:t>, tal como se demuestra mediante el adjunto certificado emitido --aquí sí- por autoridad competente”.</w:t>
      </w:r>
    </w:p>
    <w:p w:rsidR="006A4D59" w:rsidRPr="0067008A" w:rsidRDefault="00921711" w:rsidP="00D309DC">
      <w:pPr>
        <w:spacing w:after="240" w:line="360" w:lineRule="auto"/>
        <w:jc w:val="both"/>
        <w:rPr>
          <w:rFonts w:ascii="Times New Roman" w:hAnsi="Times New Roman" w:cs="Times New Roman"/>
          <w:i/>
          <w:lang w:val="es-ES"/>
        </w:rPr>
      </w:pPr>
      <w:r w:rsidRPr="0067008A">
        <w:rPr>
          <w:rFonts w:ascii="Times New Roman" w:hAnsi="Times New Roman" w:cs="Times New Roman"/>
          <w:i/>
          <w:lang w:val="es-ES"/>
        </w:rPr>
        <w:t>“De otro lado,</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 xml:space="preserve">el señor Guillermo Lasso Mendoza </w:t>
      </w:r>
      <w:r w:rsidRPr="0067008A">
        <w:rPr>
          <w:rFonts w:ascii="Times New Roman" w:hAnsi="Times New Roman" w:cs="Times New Roman"/>
          <w:i/>
          <w:u w:val="single"/>
          <w:lang w:val="es-ES"/>
        </w:rPr>
        <w:t>no tiene ninguna relación</w:t>
      </w:r>
      <w:r w:rsidRPr="0067008A">
        <w:rPr>
          <w:rFonts w:ascii="Times New Roman" w:hAnsi="Times New Roman" w:cs="Times New Roman"/>
          <w:i/>
          <w:lang w:val="es-ES"/>
        </w:rPr>
        <w:t xml:space="preserve">, de ninguna naturaleza, con la entidad South Pacific Investment…La misma información aportada por el objetante </w:t>
      </w:r>
      <w:r w:rsidRPr="0067008A">
        <w:rPr>
          <w:rFonts w:ascii="Times New Roman" w:hAnsi="Times New Roman" w:cs="Times New Roman"/>
          <w:i/>
          <w:u w:val="single"/>
          <w:lang w:val="es-ES"/>
        </w:rPr>
        <w:t>supuestamente vincularía a esta empresa con una hermana</w:t>
      </w:r>
      <w:r w:rsidRPr="0067008A">
        <w:rPr>
          <w:rFonts w:ascii="Times New Roman" w:hAnsi="Times New Roman" w:cs="Times New Roman"/>
          <w:i/>
          <w:lang w:val="es-ES"/>
        </w:rPr>
        <w:t xml:space="preserve"> del señor Lasso Mendoza, lo que automáticamente toma irrelevante a esa entidad para los fines previstos en la Ley…”</w:t>
      </w:r>
    </w:p>
    <w:p w:rsidR="006A4D59" w:rsidRPr="0067008A" w:rsidRDefault="00921711" w:rsidP="00D309DC">
      <w:pPr>
        <w:spacing w:after="240" w:line="360" w:lineRule="auto"/>
        <w:jc w:val="both"/>
        <w:rPr>
          <w:rFonts w:ascii="Times New Roman" w:hAnsi="Times New Roman" w:cs="Times New Roman"/>
          <w:lang w:val="es-ES"/>
        </w:rPr>
      </w:pPr>
      <w:r w:rsidRPr="0067008A">
        <w:rPr>
          <w:rFonts w:ascii="Times New Roman" w:hAnsi="Times New Roman" w:cs="Times New Roman"/>
        </w:rPr>
        <w:t>A foja 127 se encuentra el Certificado suscrito por la</w:t>
      </w:r>
      <w:r w:rsidRPr="0067008A">
        <w:rPr>
          <w:rFonts w:ascii="Times New Roman" w:hAnsi="Times New Roman" w:cs="Times New Roman"/>
          <w:lang w:val="es-ES"/>
        </w:rPr>
        <w:t xml:space="preserve"> Registradora Asistente de Compañías en y para las Islas Caimán, MELANIE E. RIVERS, debidamente legalizado, apostillado y traducido, mismo que señala:</w:t>
      </w:r>
    </w:p>
    <w:p w:rsidR="006A4D59" w:rsidRPr="0067008A" w:rsidRDefault="00921711" w:rsidP="00D309DC">
      <w:pPr>
        <w:spacing w:after="240" w:line="360" w:lineRule="auto"/>
        <w:jc w:val="both"/>
        <w:rPr>
          <w:rFonts w:ascii="Times New Roman" w:hAnsi="Times New Roman" w:cs="Times New Roman"/>
          <w:i/>
          <w:lang w:val="es-ES"/>
        </w:rPr>
      </w:pPr>
      <w:r w:rsidRPr="0067008A">
        <w:rPr>
          <w:rFonts w:ascii="Times New Roman" w:hAnsi="Times New Roman" w:cs="Times New Roman"/>
          <w:i/>
          <w:lang w:val="es-ES"/>
        </w:rPr>
        <w:t>La disolución de la sociedad BROTHER'S INVESTMENT LTD</w:t>
      </w:r>
      <w:r w:rsidRPr="0067008A">
        <w:rPr>
          <w:rFonts w:ascii="Times New Roman" w:eastAsia="Times New Roman" w:hAnsi="Times New Roman" w:cs="Times New Roman"/>
          <w:color w:val="37363D"/>
          <w:lang w:val="es-ES"/>
        </w:rPr>
        <w:t xml:space="preserve"> </w:t>
      </w:r>
      <w:r w:rsidRPr="0067008A">
        <w:rPr>
          <w:rFonts w:ascii="Times New Roman" w:hAnsi="Times New Roman" w:cs="Times New Roman"/>
          <w:i/>
          <w:lang w:val="es-ES"/>
        </w:rPr>
        <w:t xml:space="preserve">el </w:t>
      </w:r>
      <w:r w:rsidRPr="0067008A">
        <w:rPr>
          <w:rFonts w:ascii="Times New Roman" w:hAnsi="Times New Roman" w:cs="Times New Roman"/>
          <w:i/>
          <w:u w:val="single"/>
          <w:lang w:val="es-ES"/>
        </w:rPr>
        <w:t>29 de junio del 2020</w:t>
      </w:r>
      <w:r w:rsidRPr="0067008A">
        <w:rPr>
          <w:rFonts w:ascii="Times New Roman" w:hAnsi="Times New Roman" w:cs="Times New Roman"/>
          <w:i/>
          <w:lang w:val="es-ES"/>
        </w:rPr>
        <w:t xml:space="preserve"> y que por lo tanto, ha sido removida del Registro</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de Compañías.</w:t>
      </w:r>
    </w:p>
    <w:p w:rsidR="00D309DC" w:rsidRPr="0067008A" w:rsidRDefault="00921711" w:rsidP="00D309DC">
      <w:pPr>
        <w:spacing w:after="240" w:line="360" w:lineRule="auto"/>
        <w:jc w:val="both"/>
        <w:rPr>
          <w:rFonts w:ascii="Times New Roman" w:hAnsi="Times New Roman" w:cs="Times New Roman"/>
          <w:i/>
          <w:lang w:val="es-ES"/>
        </w:rPr>
      </w:pPr>
      <w:r w:rsidRPr="0067008A">
        <w:rPr>
          <w:rFonts w:ascii="Times New Roman" w:hAnsi="Times New Roman" w:cs="Times New Roman"/>
          <w:i/>
          <w:lang w:val="es-ES"/>
        </w:rPr>
        <w:t>Dado y firmado con el sello de Georgetown, en la Isla de Gran Caimán, este séptimo día del mes de abril del dos mil veinte.</w:t>
      </w:r>
    </w:p>
    <w:p w:rsidR="006A4D59" w:rsidRPr="0067008A" w:rsidRDefault="00921711" w:rsidP="00D309DC">
      <w:pPr>
        <w:spacing w:after="240" w:line="360" w:lineRule="auto"/>
        <w:jc w:val="both"/>
        <w:rPr>
          <w:rFonts w:ascii="Times New Roman" w:hAnsi="Times New Roman" w:cs="Times New Roman"/>
          <w:i/>
          <w:lang w:val="es-ES"/>
        </w:rPr>
      </w:pPr>
      <w:r w:rsidRPr="0067008A">
        <w:rPr>
          <w:rFonts w:ascii="Times New Roman" w:hAnsi="Times New Roman" w:cs="Times New Roman"/>
          <w:b/>
          <w:i/>
          <w:lang w:val="es-ES"/>
        </w:rPr>
        <w:t>Acerca de ANDEAN INVESTMENT LTDA.-</w:t>
      </w:r>
      <w:r w:rsidR="00677E33" w:rsidRPr="0067008A">
        <w:rPr>
          <w:rFonts w:ascii="Times New Roman" w:hAnsi="Times New Roman" w:cs="Times New Roman"/>
          <w:b/>
          <w:i/>
          <w:lang w:val="es-ES"/>
        </w:rPr>
        <w:t xml:space="preserve"> </w:t>
      </w:r>
    </w:p>
    <w:p w:rsidR="006A4D59" w:rsidRPr="0067008A" w:rsidRDefault="00677E33" w:rsidP="00677E33">
      <w:pPr>
        <w:spacing w:after="240" w:line="360" w:lineRule="auto"/>
        <w:jc w:val="both"/>
        <w:rPr>
          <w:rFonts w:ascii="Times New Roman" w:hAnsi="Times New Roman" w:cs="Times New Roman"/>
          <w:lang w:val="es-EC"/>
        </w:rPr>
      </w:pPr>
      <w:r w:rsidRPr="0067008A">
        <w:rPr>
          <w:rFonts w:ascii="Times New Roman" w:hAnsi="Times New Roman" w:cs="Times New Roman"/>
          <w:lang w:val="es-EC"/>
        </w:rPr>
        <w:t xml:space="preserve"> </w:t>
      </w:r>
      <w:r w:rsidR="00921711" w:rsidRPr="0067008A">
        <w:rPr>
          <w:rFonts w:ascii="Times New Roman" w:hAnsi="Times New Roman" w:cs="Times New Roman"/>
          <w:lang w:val="es-EC"/>
        </w:rPr>
        <w:t>Dr. Calvas a foja 118:</w:t>
      </w:r>
    </w:p>
    <w:p w:rsidR="006A4D59" w:rsidRPr="0067008A" w:rsidRDefault="00921711" w:rsidP="00D309DC">
      <w:pPr>
        <w:spacing w:after="240" w:line="360" w:lineRule="auto"/>
        <w:jc w:val="both"/>
        <w:rPr>
          <w:rFonts w:ascii="Times New Roman" w:hAnsi="Times New Roman" w:cs="Times New Roman"/>
          <w:i/>
          <w:lang w:val="es-ES"/>
        </w:rPr>
      </w:pPr>
      <w:r w:rsidRPr="0067008A">
        <w:rPr>
          <w:rFonts w:ascii="Times New Roman" w:hAnsi="Times New Roman" w:cs="Times New Roman"/>
          <w:i/>
          <w:lang w:val="es-ES"/>
        </w:rPr>
        <w:t>“Lo cierto es que Andean se encuentra disuelta y por</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ende no tiene actual existencia jurídica, tal como se demuestra con el adjunto certificado emitido por autoridad competente”.</w:t>
      </w:r>
    </w:p>
    <w:p w:rsidR="006A4D59" w:rsidRPr="0067008A" w:rsidRDefault="00921711" w:rsidP="00D309DC">
      <w:pPr>
        <w:spacing w:after="240" w:line="360" w:lineRule="auto"/>
        <w:jc w:val="both"/>
        <w:rPr>
          <w:rFonts w:ascii="Times New Roman" w:hAnsi="Times New Roman" w:cs="Times New Roman"/>
          <w:i/>
          <w:lang w:val="es-ES"/>
        </w:rPr>
      </w:pPr>
      <w:r w:rsidRPr="0067008A">
        <w:rPr>
          <w:rFonts w:ascii="Times New Roman" w:hAnsi="Times New Roman" w:cs="Times New Roman"/>
          <w:i/>
          <w:lang w:val="es-ES"/>
        </w:rPr>
        <w:t xml:space="preserve">“El accionante no deja pasar la oportunidad para afirmar que esta empresa (que ya no existe) en la actualidad se encuentra aún en operaciones a nombre de los hermanos de Guillermo Lasso Mendoza”. </w:t>
      </w:r>
    </w:p>
    <w:p w:rsidR="006A4D59" w:rsidRPr="0067008A" w:rsidRDefault="00921711" w:rsidP="00D309DC">
      <w:pPr>
        <w:spacing w:after="240" w:line="360" w:lineRule="auto"/>
        <w:jc w:val="both"/>
        <w:rPr>
          <w:rFonts w:ascii="Times New Roman" w:hAnsi="Times New Roman" w:cs="Times New Roman"/>
          <w:lang w:val="es-EC"/>
        </w:rPr>
      </w:pPr>
      <w:r w:rsidRPr="0067008A">
        <w:rPr>
          <w:rFonts w:ascii="Times New Roman" w:hAnsi="Times New Roman" w:cs="Times New Roman"/>
          <w:lang w:val="es-EC"/>
        </w:rPr>
        <w:t>A foja 146 se encuentra el Certificado legalizado por el Notario Público en y para las Islas Caimán, Damion Thomas, en el que señala:</w:t>
      </w:r>
    </w:p>
    <w:p w:rsidR="006A4D59" w:rsidRPr="0067008A" w:rsidRDefault="00921711" w:rsidP="00D309DC">
      <w:pPr>
        <w:spacing w:after="240" w:line="360" w:lineRule="auto"/>
        <w:jc w:val="both"/>
        <w:rPr>
          <w:rFonts w:ascii="Times New Roman" w:hAnsi="Times New Roman" w:cs="Times New Roman"/>
          <w:i/>
          <w:lang w:val="es-ES"/>
        </w:rPr>
      </w:pPr>
      <w:r w:rsidRPr="0067008A">
        <w:rPr>
          <w:rFonts w:ascii="Times New Roman" w:hAnsi="Times New Roman" w:cs="Times New Roman"/>
          <w:i/>
          <w:lang w:val="es-ES"/>
        </w:rPr>
        <w:t>Que ANDEAN INVESTMENT LTDA, será eliminada del Registro</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de Compañías este 30 de septiembre del 2016</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y en lo posterior, estará disuelta.</w:t>
      </w:r>
    </w:p>
    <w:p w:rsidR="006A4D59" w:rsidRPr="0067008A" w:rsidRDefault="006A4D59" w:rsidP="00677E33">
      <w:pPr>
        <w:spacing w:after="240" w:line="360" w:lineRule="auto"/>
        <w:ind w:left="2880"/>
        <w:jc w:val="both"/>
        <w:rPr>
          <w:rFonts w:ascii="Times New Roman" w:hAnsi="Times New Roman" w:cs="Times New Roman"/>
          <w:i/>
          <w:lang w:val="es-ES"/>
        </w:rPr>
      </w:pPr>
    </w:p>
    <w:p w:rsidR="006A4D59" w:rsidRPr="0067008A" w:rsidRDefault="006A4D59" w:rsidP="00677E33">
      <w:pPr>
        <w:spacing w:after="240" w:line="360" w:lineRule="auto"/>
        <w:ind w:left="1440"/>
        <w:jc w:val="both"/>
        <w:rPr>
          <w:rFonts w:ascii="Times New Roman" w:hAnsi="Times New Roman" w:cs="Times New Roman"/>
          <w:i/>
          <w:lang w:val="es-ES"/>
        </w:rPr>
      </w:pPr>
    </w:p>
    <w:p w:rsidR="006A4D59" w:rsidRPr="0067008A" w:rsidRDefault="00921711" w:rsidP="00D309DC">
      <w:pPr>
        <w:pStyle w:val="Prrafodelista"/>
        <w:numPr>
          <w:ilvl w:val="0"/>
          <w:numId w:val="39"/>
        </w:numPr>
        <w:spacing w:after="240" w:line="360" w:lineRule="auto"/>
        <w:jc w:val="both"/>
        <w:outlineLvl w:val="1"/>
      </w:pPr>
      <w:bookmarkStart w:id="3" w:name="_Toc86665429"/>
      <w:r w:rsidRPr="00CC67C2">
        <w:rPr>
          <w:b/>
          <w:color w:val="000000"/>
        </w:rPr>
        <w:t>Servicio de Rentas Internas:</w:t>
      </w:r>
      <w:bookmarkEnd w:id="3"/>
    </w:p>
    <w:p w:rsidR="006A4D59" w:rsidRPr="0067008A" w:rsidRDefault="006A4D59" w:rsidP="00677E33">
      <w:pPr>
        <w:spacing w:after="240" w:line="360" w:lineRule="auto"/>
        <w:jc w:val="both"/>
        <w:rPr>
          <w:rFonts w:ascii="Times New Roman" w:hAnsi="Times New Roman" w:cs="Times New Roman"/>
          <w:lang w:val="es-EC"/>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lang w:val="es-ES"/>
        </w:rPr>
        <w:t>El Servicio de Rentas Internas SRI, presenta con acceso al público a través de su página web el detalle del Catastro de Grupos Económicos 2020, su Conformación y Comportamiento Tributario. De la revisión efectuada a esta base de datos oficial, se pudo encontrar la siguiente información respecto al Grupo Económico Banco de Guayaquil (Corporación MultiBG, Fideicomiso Mercantil de Administración GLM, Promoquil, Fideicomiso Mercantil de Administración MELM):</w:t>
      </w:r>
    </w:p>
    <w:p w:rsidR="006A4D59" w:rsidRPr="0067008A" w:rsidRDefault="001A2FF9" w:rsidP="00D309DC">
      <w:pPr>
        <w:spacing w:after="240" w:line="360" w:lineRule="auto"/>
        <w:jc w:val="center"/>
        <w:rPr>
          <w:rFonts w:ascii="Times New Roman" w:hAnsi="Times New Roman" w:cs="Times New Roman"/>
          <w:lang w:val="es-ES"/>
        </w:rPr>
      </w:pPr>
      <w:r w:rsidRPr="00CC67C2">
        <w:rPr>
          <w:rFonts w:ascii="Times New Roman" w:hAnsi="Times New Roman" w:cs="Times New Roman"/>
          <w:noProof/>
        </w:rPr>
        <w:drawing>
          <wp:inline distT="0" distB="0" distL="0" distR="0">
            <wp:extent cx="6166485" cy="2032000"/>
            <wp:effectExtent l="0" t="0" r="0" b="0"/>
            <wp:docPr id="2" name="Imagen 6" descr="Imagen que contiene Text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descr="Imagen que contiene Texto&#10;&#10;Descripción generada automáticamente"/>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6485" cy="2032000"/>
                    </a:xfrm>
                    <a:prstGeom prst="rect">
                      <a:avLst/>
                    </a:prstGeom>
                    <a:noFill/>
                    <a:ln>
                      <a:noFill/>
                    </a:ln>
                  </pic:spPr>
                </pic:pic>
              </a:graphicData>
            </a:graphic>
          </wp:inline>
        </w:drawing>
      </w:r>
    </w:p>
    <w:p w:rsidR="006A4D59" w:rsidRPr="0067008A" w:rsidRDefault="00921711" w:rsidP="00677E33">
      <w:pPr>
        <w:spacing w:after="240" w:line="360" w:lineRule="auto"/>
        <w:jc w:val="both"/>
        <w:rPr>
          <w:rFonts w:ascii="Times New Roman" w:hAnsi="Times New Roman" w:cs="Times New Roman"/>
          <w:lang w:val="es-ES"/>
        </w:rPr>
      </w:pPr>
      <w:r w:rsidRPr="0067008A">
        <w:rPr>
          <w:rFonts w:ascii="Times New Roman" w:hAnsi="Times New Roman" w:cs="Times New Roman"/>
          <w:lang w:val="es-ES"/>
        </w:rPr>
        <w:t>Tal como consta en la web se determina, que el SRI registra a este Grupo Económico con la denominación “</w:t>
      </w:r>
      <w:r w:rsidRPr="0067008A">
        <w:rPr>
          <w:rFonts w:ascii="Times New Roman" w:hAnsi="Times New Roman" w:cs="Times New Roman"/>
          <w:b/>
          <w:lang w:val="es-ES"/>
        </w:rPr>
        <w:t>Banco de Guayaquil (Corporación MultiBG, Fideicomiso Mercantil de Administración GLM, Promoquil, Fideicomiso Mercantil de Administración MELM)”</w:t>
      </w:r>
      <w:r w:rsidRPr="0067008A">
        <w:rPr>
          <w:rFonts w:ascii="Times New Roman" w:hAnsi="Times New Roman" w:cs="Times New Roman"/>
          <w:lang w:val="es-ES"/>
        </w:rPr>
        <w:t>. Según los datos encontrados, el Grupo está conformado por 66 Empresas, dos (2) de las cuales se encuentran registradas como Sociedades Extranjeras domiciliadas en Paraísos Fiscales.</w:t>
      </w:r>
    </w:p>
    <w:p w:rsidR="006A4D59" w:rsidRPr="0067008A" w:rsidRDefault="00921711" w:rsidP="00677E33">
      <w:pPr>
        <w:spacing w:after="240" w:line="360" w:lineRule="auto"/>
        <w:jc w:val="both"/>
        <w:rPr>
          <w:rFonts w:ascii="Times New Roman" w:hAnsi="Times New Roman" w:cs="Times New Roman"/>
          <w:lang w:val="es-ES"/>
        </w:rPr>
      </w:pPr>
      <w:r w:rsidRPr="0067008A">
        <w:rPr>
          <w:rFonts w:ascii="Times New Roman" w:hAnsi="Times New Roman" w:cs="Times New Roman"/>
          <w:lang w:val="es-ES"/>
        </w:rPr>
        <w:t xml:space="preserve">En la misma fuente se verifica, que cada una de las empresas integrantes registra su respectiva Razón Social y que entre ellas constan 7 que se encuentran Suspendidas, 59 en condición de Activas y </w:t>
      </w:r>
      <w:r w:rsidRPr="0067008A">
        <w:rPr>
          <w:rFonts w:ascii="Times New Roman" w:hAnsi="Times New Roman" w:cs="Times New Roman"/>
          <w:u w:val="single"/>
          <w:lang w:val="es-ES"/>
        </w:rPr>
        <w:t>2 con registro de NO APLICA para el Estado Tributario para Ecuador</w:t>
      </w:r>
      <w:r w:rsidRPr="0067008A">
        <w:rPr>
          <w:rFonts w:ascii="Times New Roman" w:hAnsi="Times New Roman" w:cs="Times New Roman"/>
          <w:lang w:val="es-ES"/>
        </w:rPr>
        <w:t xml:space="preserve">, debido a que están domiciliadas en Panamá, siendo estas las empresas BANISI HOLDING y BANISI. </w:t>
      </w:r>
    </w:p>
    <w:p w:rsidR="00D309DC" w:rsidRPr="0067008A" w:rsidRDefault="00921711" w:rsidP="00D309DC">
      <w:pPr>
        <w:spacing w:after="240" w:line="360" w:lineRule="auto"/>
        <w:jc w:val="both"/>
        <w:rPr>
          <w:rFonts w:ascii="Times New Roman" w:hAnsi="Times New Roman" w:cs="Times New Roman"/>
          <w:lang w:val="es-ES"/>
        </w:rPr>
      </w:pPr>
      <w:r w:rsidRPr="0067008A">
        <w:rPr>
          <w:rFonts w:ascii="Times New Roman" w:hAnsi="Times New Roman" w:cs="Times New Roman"/>
          <w:lang w:val="es-ES"/>
        </w:rPr>
        <w:t>Constan además en el registro como empresas activas las denominadas SOUTH PACIFIC INVESTORS LTD,</w:t>
      </w:r>
      <w:r w:rsidR="00677E33" w:rsidRPr="0067008A">
        <w:rPr>
          <w:rFonts w:ascii="Times New Roman" w:hAnsi="Times New Roman" w:cs="Times New Roman"/>
          <w:lang w:val="es-ES"/>
        </w:rPr>
        <w:t xml:space="preserve"> </w:t>
      </w:r>
      <w:r w:rsidRPr="0067008A">
        <w:rPr>
          <w:rFonts w:ascii="Times New Roman" w:hAnsi="Times New Roman" w:cs="Times New Roman"/>
          <w:lang w:val="es-ES"/>
        </w:rPr>
        <w:t>GRUPO CORPORATIVO YOU YOUCORP S.A. y el FIDEICOMISO MERCANTIL DE ADMINISTRACION GLM, mencionadas en los medios de comunicación como empresas vinculadas a paraísos fiscales. En el cuadro siguiente, tomado de la web del SRI, se presenta el detalle de las empresas que conforman el Grupo Económico Banco de Guayaquil.</w:t>
      </w:r>
    </w:p>
    <w:p w:rsidR="006A4D59" w:rsidRPr="0067008A" w:rsidRDefault="00921711" w:rsidP="00D309DC">
      <w:pPr>
        <w:pStyle w:val="Prrafodelista"/>
        <w:numPr>
          <w:ilvl w:val="0"/>
          <w:numId w:val="42"/>
        </w:numPr>
        <w:spacing w:after="240" w:line="360" w:lineRule="auto"/>
        <w:jc w:val="both"/>
        <w:rPr>
          <w:lang w:val="es-ES"/>
        </w:rPr>
      </w:pPr>
      <w:r w:rsidRPr="0067008A">
        <w:rPr>
          <w:b/>
          <w:lang w:val="es-ES"/>
        </w:rPr>
        <w:t>EMPRESAS QUE CONFORMAN EL GRUPO ECONÓMICO BANCO DE GUAYAQUIL</w:t>
      </w:r>
    </w:p>
    <w:p w:rsidR="006A4D59" w:rsidRPr="0067008A" w:rsidRDefault="00921711" w:rsidP="00677E33">
      <w:pPr>
        <w:spacing w:after="240" w:line="360" w:lineRule="auto"/>
        <w:jc w:val="center"/>
        <w:rPr>
          <w:rFonts w:ascii="Times New Roman" w:hAnsi="Times New Roman" w:cs="Times New Roman"/>
          <w:b/>
          <w:lang w:val="es-ES"/>
        </w:rPr>
      </w:pPr>
      <w:r w:rsidRPr="0067008A">
        <w:rPr>
          <w:rFonts w:ascii="Times New Roman" w:hAnsi="Times New Roman" w:cs="Times New Roman"/>
          <w:b/>
          <w:lang w:val="es-ES"/>
        </w:rPr>
        <w:t>(Corporación MultiBG, Fideicomiso Mercantil de Administración GLM, Promoquil, Fideicomiso Mercantil de Administración MELM), 2018 -2019</w:t>
      </w:r>
    </w:p>
    <w:p w:rsidR="006A4D59" w:rsidRPr="0067008A" w:rsidRDefault="001A2FF9" w:rsidP="00677E33">
      <w:pPr>
        <w:spacing w:after="240" w:line="360" w:lineRule="auto"/>
        <w:jc w:val="center"/>
        <w:rPr>
          <w:rFonts w:ascii="Times New Roman" w:hAnsi="Times New Roman" w:cs="Times New Roman"/>
          <w:b/>
          <w:lang w:val="es-ES"/>
        </w:rPr>
      </w:pPr>
      <w:r w:rsidRPr="00CC67C2">
        <w:rPr>
          <w:rFonts w:ascii="Times New Roman" w:hAnsi="Times New Roman" w:cs="Times New Roman"/>
          <w:noProof/>
        </w:rPr>
        <w:drawing>
          <wp:inline distT="0" distB="0" distL="0" distR="0">
            <wp:extent cx="6057900" cy="4972050"/>
            <wp:effectExtent l="0" t="0" r="0" b="0"/>
            <wp:docPr id="3" name="Imagen 7" descr="Interfaz de usuario gráfica, Text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descr="Interfaz de usuario gráfica, Texto&#10;&#10;Descripción generada automáticamente"/>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7900" cy="4972050"/>
                    </a:xfrm>
                    <a:prstGeom prst="rect">
                      <a:avLst/>
                    </a:prstGeom>
                    <a:noFill/>
                    <a:ln>
                      <a:noFill/>
                    </a:ln>
                  </pic:spPr>
                </pic:pic>
              </a:graphicData>
            </a:graphic>
          </wp:inline>
        </w:drawing>
      </w:r>
    </w:p>
    <w:p w:rsidR="006A4D59" w:rsidRPr="0067008A" w:rsidRDefault="00921711" w:rsidP="00886B55">
      <w:pPr>
        <w:spacing w:after="240" w:line="360" w:lineRule="auto"/>
        <w:rPr>
          <w:rFonts w:ascii="Times New Roman" w:hAnsi="Times New Roman" w:cs="Times New Roman"/>
          <w:lang w:val="es-ES"/>
        </w:rPr>
      </w:pPr>
      <w:r w:rsidRPr="0067008A">
        <w:rPr>
          <w:rFonts w:ascii="Times New Roman" w:hAnsi="Times New Roman" w:cs="Times New Roman"/>
          <w:lang w:val="es-ES"/>
        </w:rPr>
        <w:t>Fuente: SRI, Catastro de Grupos Económicos 2020</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lang w:val="es-ES"/>
        </w:rPr>
        <w:t xml:space="preserve">La información que presenta el SRI a través del registro de Catastro de Grupos Económicos 2020, su Conformación y Comportamiento Tributario, refleja que entre las 66 empresas que conforman el Grupo Económico Banco de Guayaquil (Corporación MultiBG, Fideicomiso Mercantil de Administración GLM, Promoquil, Fideicomiso Mercantil de Administración MELM), pagaron al Estado ecuatoriano por Contribución del Impuesto a la Renta un total de </w:t>
      </w:r>
      <w:r w:rsidRPr="0067008A">
        <w:rPr>
          <w:rFonts w:ascii="Times New Roman" w:hAnsi="Times New Roman" w:cs="Times New Roman"/>
          <w:b/>
          <w:lang w:val="es-ES"/>
        </w:rPr>
        <w:t>$31.755.533</w:t>
      </w:r>
      <w:r w:rsidR="00677E33" w:rsidRPr="0067008A">
        <w:rPr>
          <w:rFonts w:ascii="Times New Roman" w:hAnsi="Times New Roman" w:cs="Times New Roman"/>
          <w:lang w:val="es-ES"/>
        </w:rPr>
        <w:t xml:space="preserve"> </w:t>
      </w:r>
      <w:r w:rsidRPr="0067008A">
        <w:rPr>
          <w:rFonts w:ascii="Times New Roman" w:hAnsi="Times New Roman" w:cs="Times New Roman"/>
          <w:lang w:val="es-ES"/>
        </w:rPr>
        <w:t xml:space="preserve">en el 2019, proveniente de una declaración de ingresos totales por $601.613.380. En tanto que para el 2018, el total de la Tributación de este Grupo económico por Impuesto a la Renta fue de </w:t>
      </w:r>
      <w:r w:rsidRPr="0067008A">
        <w:rPr>
          <w:rFonts w:ascii="Times New Roman" w:hAnsi="Times New Roman" w:cs="Times New Roman"/>
          <w:b/>
          <w:lang w:val="es-ES"/>
        </w:rPr>
        <w:t>$25.459.646</w:t>
      </w:r>
      <w:r w:rsidRPr="0067008A">
        <w:rPr>
          <w:rFonts w:ascii="Times New Roman" w:hAnsi="Times New Roman" w:cs="Times New Roman"/>
          <w:lang w:val="es-ES"/>
        </w:rPr>
        <w:t xml:space="preserve"> correspondiente a una declaración de ingresos de $525.191.984 para ese año fiscal. </w:t>
      </w:r>
    </w:p>
    <w:p w:rsidR="006A4D59" w:rsidRPr="0067008A" w:rsidRDefault="00921711" w:rsidP="00886B55">
      <w:pPr>
        <w:spacing w:after="240" w:line="360" w:lineRule="auto"/>
        <w:jc w:val="center"/>
        <w:rPr>
          <w:rFonts w:ascii="Times New Roman" w:hAnsi="Times New Roman" w:cs="Times New Roman"/>
          <w:b/>
          <w:lang w:val="es-ES"/>
        </w:rPr>
      </w:pPr>
      <w:r w:rsidRPr="0067008A">
        <w:rPr>
          <w:rFonts w:ascii="Times New Roman" w:hAnsi="Times New Roman" w:cs="Times New Roman"/>
          <w:b/>
          <w:lang w:val="es-ES"/>
        </w:rPr>
        <w:t>GRUPO ECONÓMICO BANCO DE GUAYAQUIL</w:t>
      </w:r>
    </w:p>
    <w:p w:rsidR="006A4D59" w:rsidRPr="0067008A" w:rsidRDefault="00921711" w:rsidP="00677E33">
      <w:pPr>
        <w:spacing w:after="240" w:line="360" w:lineRule="auto"/>
        <w:jc w:val="center"/>
        <w:rPr>
          <w:rFonts w:ascii="Times New Roman" w:hAnsi="Times New Roman" w:cs="Times New Roman"/>
          <w:b/>
          <w:lang w:val="es-ES"/>
        </w:rPr>
      </w:pPr>
      <w:r w:rsidRPr="0067008A">
        <w:rPr>
          <w:rFonts w:ascii="Times New Roman" w:hAnsi="Times New Roman" w:cs="Times New Roman"/>
          <w:b/>
          <w:lang w:val="es-ES"/>
        </w:rPr>
        <w:t>(Corporación MultiBG, Fideicomiso Mercantil de Administración GLM, Promoquil, Fideicomiso Mercantil de Administración MELM)</w:t>
      </w:r>
    </w:p>
    <w:p w:rsidR="006A4D59" w:rsidRPr="0067008A" w:rsidRDefault="006A4D59" w:rsidP="00677E33">
      <w:pPr>
        <w:spacing w:after="240" w:line="360" w:lineRule="auto"/>
        <w:jc w:val="center"/>
        <w:rPr>
          <w:rFonts w:ascii="Times New Roman" w:hAnsi="Times New Roman" w:cs="Times New Roman"/>
          <w:b/>
          <w:lang w:val="es-ES"/>
        </w:rPr>
      </w:pPr>
    </w:p>
    <w:p w:rsidR="006A4D59" w:rsidRPr="0067008A" w:rsidRDefault="00921711" w:rsidP="00677E33">
      <w:pPr>
        <w:spacing w:after="240" w:line="360" w:lineRule="auto"/>
        <w:jc w:val="center"/>
        <w:rPr>
          <w:rFonts w:ascii="Times New Roman" w:hAnsi="Times New Roman" w:cs="Times New Roman"/>
          <w:b/>
          <w:lang w:val="es-ES"/>
        </w:rPr>
      </w:pPr>
      <w:r w:rsidRPr="0067008A">
        <w:rPr>
          <w:rFonts w:ascii="Times New Roman" w:hAnsi="Times New Roman" w:cs="Times New Roman"/>
          <w:b/>
          <w:lang w:val="es-ES"/>
        </w:rPr>
        <w:t>Información Tributaria 2018 – 2019</w:t>
      </w:r>
    </w:p>
    <w:p w:rsidR="006A4D59" w:rsidRPr="0067008A" w:rsidRDefault="001A2FF9" w:rsidP="00677E33">
      <w:pPr>
        <w:spacing w:after="240" w:line="360" w:lineRule="auto"/>
        <w:jc w:val="center"/>
        <w:rPr>
          <w:rFonts w:ascii="Times New Roman" w:hAnsi="Times New Roman" w:cs="Times New Roman"/>
          <w:b/>
          <w:lang w:val="es-ES"/>
        </w:rPr>
      </w:pPr>
      <w:r w:rsidRPr="00CC67C2">
        <w:rPr>
          <w:rFonts w:ascii="Times New Roman" w:hAnsi="Times New Roman" w:cs="Times New Roman"/>
          <w:noProof/>
        </w:rPr>
        <w:drawing>
          <wp:inline distT="0" distB="0" distL="0" distR="0">
            <wp:extent cx="5977890" cy="2032000"/>
            <wp:effectExtent l="0" t="0" r="0" b="0"/>
            <wp:docPr id="4" name="Imagen 5" descr="Interfaz de usuario gráfica&#10;&#10;Descripción generada automáticamente con confianza ba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descr="Interfaz de usuario gráfica&#10;&#10;Descripción generada automáticamente con confianza baja"/>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7890" cy="2032000"/>
                    </a:xfrm>
                    <a:prstGeom prst="rect">
                      <a:avLst/>
                    </a:prstGeom>
                    <a:noFill/>
                    <a:ln>
                      <a:noFill/>
                    </a:ln>
                  </pic:spPr>
                </pic:pic>
              </a:graphicData>
            </a:graphic>
          </wp:inline>
        </w:drawing>
      </w:r>
    </w:p>
    <w:p w:rsidR="006A4D59" w:rsidRPr="0067008A" w:rsidRDefault="00921711" w:rsidP="00886B55">
      <w:pPr>
        <w:spacing w:after="240" w:line="360" w:lineRule="auto"/>
        <w:rPr>
          <w:rFonts w:ascii="Times New Roman" w:hAnsi="Times New Roman" w:cs="Times New Roman"/>
          <w:lang w:val="es-ES"/>
        </w:rPr>
      </w:pPr>
      <w:r w:rsidRPr="0067008A">
        <w:rPr>
          <w:rFonts w:ascii="Times New Roman" w:hAnsi="Times New Roman" w:cs="Times New Roman"/>
          <w:lang w:val="es-ES"/>
        </w:rPr>
        <w:t>Fuente: SRI, Catastro de Grupos Económicos 2020</w:t>
      </w:r>
    </w:p>
    <w:p w:rsidR="00886B55" w:rsidRPr="0067008A" w:rsidRDefault="00921711" w:rsidP="00886B55">
      <w:pPr>
        <w:spacing w:after="240" w:line="360" w:lineRule="auto"/>
        <w:jc w:val="both"/>
        <w:rPr>
          <w:rFonts w:ascii="Times New Roman" w:hAnsi="Times New Roman" w:cs="Times New Roman"/>
          <w:lang w:val="es-ES"/>
        </w:rPr>
      </w:pPr>
      <w:r w:rsidRPr="0067008A">
        <w:rPr>
          <w:rFonts w:ascii="Times New Roman" w:hAnsi="Times New Roman" w:cs="Times New Roman"/>
          <w:lang w:val="es-ES"/>
        </w:rPr>
        <w:t xml:space="preserve">Como se demuestra en el cuadro, tomado de la información pública del Servicio de Rentas Internas en su página web, los valores pagados por el Grupo Económico Banco de Guayaquil y todas las empresas que lo constituyen, por concepto de Impuesto de Salida de Divisas ISD fueron del monto de </w:t>
      </w:r>
      <w:r w:rsidRPr="0067008A">
        <w:rPr>
          <w:rFonts w:ascii="Times New Roman" w:hAnsi="Times New Roman" w:cs="Times New Roman"/>
          <w:b/>
          <w:lang w:val="es-ES"/>
        </w:rPr>
        <w:t>$688.177</w:t>
      </w:r>
      <w:r w:rsidRPr="0067008A">
        <w:rPr>
          <w:rFonts w:ascii="Times New Roman" w:hAnsi="Times New Roman" w:cs="Times New Roman"/>
          <w:lang w:val="es-ES"/>
        </w:rPr>
        <w:t xml:space="preserve"> en el año 2019 y de </w:t>
      </w:r>
      <w:r w:rsidRPr="0067008A">
        <w:rPr>
          <w:rFonts w:ascii="Times New Roman" w:hAnsi="Times New Roman" w:cs="Times New Roman"/>
          <w:b/>
          <w:lang w:val="es-ES"/>
        </w:rPr>
        <w:t>$185.173</w:t>
      </w:r>
      <w:r w:rsidRPr="0067008A">
        <w:rPr>
          <w:rFonts w:ascii="Times New Roman" w:hAnsi="Times New Roman" w:cs="Times New Roman"/>
          <w:lang w:val="es-ES"/>
        </w:rPr>
        <w:t xml:space="preserve"> para el año 2018. De igual forma, los recursos pagados al Estado por concepto de Impuesto a las Actividades Económicas IAE, fueron $5.678.838 en el año 2019 y $5.004.336 en el año 2018.</w:t>
      </w:r>
      <w:bookmarkStart w:id="4" w:name="_Toc86665430"/>
    </w:p>
    <w:p w:rsidR="006A4D59" w:rsidRPr="0067008A" w:rsidRDefault="00921711" w:rsidP="00677E33">
      <w:pPr>
        <w:pStyle w:val="Prrafodelista"/>
        <w:numPr>
          <w:ilvl w:val="0"/>
          <w:numId w:val="42"/>
        </w:numPr>
        <w:spacing w:after="240" w:line="360" w:lineRule="auto"/>
        <w:jc w:val="both"/>
        <w:rPr>
          <w:lang w:val="es-ES"/>
        </w:rPr>
      </w:pPr>
      <w:r w:rsidRPr="0067008A">
        <w:rPr>
          <w:b/>
        </w:rPr>
        <w:t>OTRAS FUENTES:</w:t>
      </w:r>
      <w:bookmarkEnd w:id="4"/>
    </w:p>
    <w:p w:rsidR="008D0DFF" w:rsidRPr="0067008A" w:rsidRDefault="00921711" w:rsidP="008D0DFF">
      <w:pPr>
        <w:spacing w:after="240" w:line="360" w:lineRule="auto"/>
        <w:jc w:val="both"/>
        <w:rPr>
          <w:rFonts w:ascii="Times New Roman" w:hAnsi="Times New Roman" w:cs="Times New Roman"/>
          <w:lang w:val="es-EC"/>
        </w:rPr>
      </w:pPr>
      <w:r w:rsidRPr="0067008A">
        <w:rPr>
          <w:rFonts w:ascii="Times New Roman" w:hAnsi="Times New Roman" w:cs="Times New Roman"/>
          <w:lang w:val="es-EC"/>
        </w:rPr>
        <w:t xml:space="preserve">En </w:t>
      </w:r>
      <w:r w:rsidR="00886B55" w:rsidRPr="0067008A">
        <w:rPr>
          <w:rFonts w:ascii="Times New Roman" w:hAnsi="Times New Roman" w:cs="Times New Roman"/>
          <w:lang w:val="es-EC"/>
        </w:rPr>
        <w:t>j</w:t>
      </w:r>
      <w:r w:rsidRPr="0067008A">
        <w:rPr>
          <w:rFonts w:ascii="Times New Roman" w:hAnsi="Times New Roman" w:cs="Times New Roman"/>
          <w:lang w:val="es-EC"/>
        </w:rPr>
        <w:t>ulio del 2021, The Real Deal, en base a información del Center for Economic and Policy Research, un tink tank asentado en Washington, D.C., reportó que compañías de responsabilidad limitada, dirigidas por un hijo del señor Guillermo Lasso Mendoza y dos directores del Banco Panameño vinculado al señor Lasso, serían propietarias de</w:t>
      </w:r>
      <w:r w:rsidR="00677E33" w:rsidRPr="0067008A">
        <w:rPr>
          <w:rFonts w:ascii="Times New Roman" w:hAnsi="Times New Roman" w:cs="Times New Roman"/>
          <w:lang w:val="es-EC"/>
        </w:rPr>
        <w:t xml:space="preserve"> </w:t>
      </w:r>
      <w:r w:rsidRPr="0067008A">
        <w:rPr>
          <w:rFonts w:ascii="Times New Roman" w:hAnsi="Times New Roman" w:cs="Times New Roman"/>
          <w:lang w:val="es-ES"/>
        </w:rPr>
        <w:t>cerca de 130 propiedades en la zona de Miami, estado de Florida, una compañía de bienes y raíces, y ha acumulado US$ 33 millones desde 2009.</w:t>
      </w:r>
      <w:r w:rsidRPr="0067008A">
        <w:rPr>
          <w:rStyle w:val="Ancladenotaalpie"/>
          <w:rFonts w:ascii="Times New Roman" w:hAnsi="Times New Roman" w:cs="Times New Roman"/>
          <w:lang w:val="es-ES"/>
        </w:rPr>
        <w:footnoteReference w:id="2"/>
      </w:r>
      <w:r w:rsidR="00677E33" w:rsidRPr="0067008A">
        <w:rPr>
          <w:rFonts w:ascii="Times New Roman" w:hAnsi="Times New Roman" w:cs="Times New Roman"/>
          <w:lang w:val="es-EC"/>
        </w:rPr>
        <w:t xml:space="preserve"> </w:t>
      </w:r>
      <w:r w:rsidRPr="0067008A">
        <w:rPr>
          <w:rFonts w:ascii="Times New Roman" w:hAnsi="Times New Roman" w:cs="Times New Roman"/>
          <w:lang w:val="es-EC"/>
        </w:rPr>
        <w:t>Estos datos deberán ser contrastados en investigaciones posteriores</w:t>
      </w:r>
    </w:p>
    <w:p w:rsidR="006A4D59" w:rsidRPr="0067008A" w:rsidRDefault="00921711" w:rsidP="00677E33">
      <w:pPr>
        <w:pStyle w:val="Prrafodelista"/>
        <w:numPr>
          <w:ilvl w:val="0"/>
          <w:numId w:val="42"/>
        </w:numPr>
        <w:spacing w:after="240" w:line="360" w:lineRule="auto"/>
        <w:jc w:val="both"/>
      </w:pPr>
      <w:r w:rsidRPr="0067008A">
        <w:rPr>
          <w:b/>
        </w:rPr>
        <w:t>DECLARACIÓN PATRIMONIAL DEL PRESIDENTE GUILLERMO LASSO MENDOZA:</w:t>
      </w:r>
    </w:p>
    <w:p w:rsidR="006A4D59" w:rsidRPr="0067008A" w:rsidRDefault="00921711" w:rsidP="00677E33">
      <w:pPr>
        <w:pStyle w:val="Prrafodelista"/>
        <w:numPr>
          <w:ilvl w:val="0"/>
          <w:numId w:val="21"/>
        </w:numPr>
        <w:spacing w:after="240" w:line="360" w:lineRule="auto"/>
        <w:contextualSpacing w:val="0"/>
        <w:jc w:val="both"/>
        <w:outlineLvl w:val="1"/>
        <w:rPr>
          <w:sz w:val="22"/>
        </w:rPr>
      </w:pPr>
      <w:r w:rsidRPr="0067008A">
        <w:rPr>
          <w:b/>
          <w:sz w:val="22"/>
        </w:rPr>
        <w:t>DECLARACIONES PÚBLICAS RESPECTO A PANDORA PAPERS DEL PRESIDENTE GUILLERMO LASSO MENDOZA:</w:t>
      </w:r>
    </w:p>
    <w:p w:rsidR="006A4D59" w:rsidRPr="0067008A" w:rsidRDefault="006A4D59" w:rsidP="00677E33">
      <w:pPr>
        <w:spacing w:after="240" w:line="360" w:lineRule="auto"/>
        <w:jc w:val="both"/>
        <w:rPr>
          <w:rFonts w:ascii="Times New Roman" w:hAnsi="Times New Roman" w:cs="Times New Roman"/>
          <w:lang w:val="es-EC"/>
        </w:rPr>
      </w:pPr>
    </w:p>
    <w:p w:rsidR="006A4D59" w:rsidRPr="00CC67C2" w:rsidRDefault="00921711" w:rsidP="00677E33">
      <w:pPr>
        <w:spacing w:after="240" w:line="360" w:lineRule="auto"/>
        <w:jc w:val="both"/>
        <w:rPr>
          <w:rFonts w:ascii="Times New Roman" w:hAnsi="Times New Roman" w:cs="Times New Roman"/>
          <w:color w:val="000000"/>
          <w:lang w:val="es-ES"/>
        </w:rPr>
      </w:pPr>
      <w:r w:rsidRPr="00CC67C2">
        <w:rPr>
          <w:rFonts w:ascii="Times New Roman" w:hAnsi="Times New Roman" w:cs="Times New Roman"/>
          <w:color w:val="000000"/>
          <w:lang w:val="es-EC"/>
        </w:rPr>
        <w:t xml:space="preserve">El rechazo del Presidente de la República, </w:t>
      </w:r>
      <w:r w:rsidRPr="00CC67C2">
        <w:rPr>
          <w:rFonts w:ascii="Times New Roman" w:hAnsi="Times New Roman" w:cs="Times New Roman"/>
          <w:color w:val="000000"/>
          <w:lang w:val="es-ES"/>
        </w:rPr>
        <w:t xml:space="preserve">señor Guillermo Lasso Mendoza, a las invitaciones que por dos ocasiones fueron extendidas por la Comisión Especializada Permanente de Garantías Constitucionales, Derechos Humanos, Derechos Colectivos y la Interculturalidad, para que asista a esclarecer ante esta instancia parlamentaria y el país, las denuncias de posesión de bienes en paraísos fiscales, realizada por el Consorcio de Periodistas Internacionales </w:t>
      </w:r>
      <w:r w:rsidRPr="00CC67C2">
        <w:rPr>
          <w:rFonts w:ascii="Times New Roman" w:hAnsi="Times New Roman" w:cs="Times New Roman"/>
          <w:color w:val="000000"/>
          <w:lang w:val="es-EC"/>
        </w:rPr>
        <w:t>(ICIJ) en el caso denominado Pandora Papers – Ecuador, nos obligó a acudir a la búsqueda de sus declaraciones en los medios públicos.</w:t>
      </w:r>
    </w:p>
    <w:p w:rsidR="006A4D59" w:rsidRPr="0067008A" w:rsidRDefault="00921711" w:rsidP="00677E33">
      <w:pPr>
        <w:spacing w:after="240" w:line="360" w:lineRule="auto"/>
        <w:jc w:val="both"/>
        <w:rPr>
          <w:rFonts w:ascii="Times New Roman" w:hAnsi="Times New Roman" w:cs="Times New Roman"/>
        </w:rPr>
      </w:pPr>
      <w:r w:rsidRPr="00CC67C2">
        <w:rPr>
          <w:rFonts w:ascii="Times New Roman" w:hAnsi="Times New Roman" w:cs="Times New Roman"/>
          <w:color w:val="000000"/>
          <w:lang w:val="es-ES"/>
        </w:rPr>
        <w:t>Así, en base a la información encontrada en los medios de prensa, recogemos para el propósito de esta investigación, las explicaciones públicas del señor Guillermo Lasso Mendoza, Presidente de la República de Ecuador, mismas que metodológicamente se las considera elementos de contraste para el proceso de análisis de la información y obtención de resultados.</w:t>
      </w:r>
    </w:p>
    <w:p w:rsidR="006A4D59" w:rsidRPr="00CC67C2" w:rsidRDefault="00921711" w:rsidP="00677E33">
      <w:pPr>
        <w:spacing w:after="240" w:line="360" w:lineRule="auto"/>
        <w:jc w:val="both"/>
        <w:rPr>
          <w:rFonts w:ascii="Times New Roman" w:hAnsi="Times New Roman" w:cs="Times New Roman"/>
          <w:color w:val="000000"/>
          <w:lang w:val="es-ES"/>
        </w:rPr>
      </w:pPr>
      <w:r w:rsidRPr="00CC67C2">
        <w:rPr>
          <w:rFonts w:ascii="Times New Roman" w:hAnsi="Times New Roman" w:cs="Times New Roman"/>
          <w:color w:val="000000"/>
          <w:lang w:val="es-ES"/>
        </w:rPr>
        <w:t>De esta forma se presenta la siguiente recolección de datos públicos, no sin antes dejar expresa constancia que como instancia de funcionamiento parlamentario en un Estado democrático, lamentamos que el señor Presidente de la República se haya negado a dar una explicación detallada y formal ante una situación de grave impacto para Ecuador ante el mundo, en condiciones en que el país se debate en circunstancias económicas recesivas, grave crisis fiscal e incertidumbre social.</w:t>
      </w:r>
    </w:p>
    <w:p w:rsidR="006A4D59" w:rsidRPr="0067008A" w:rsidRDefault="00921711" w:rsidP="00677E33">
      <w:pPr>
        <w:spacing w:after="240" w:line="360" w:lineRule="auto"/>
        <w:jc w:val="both"/>
        <w:rPr>
          <w:rFonts w:ascii="Times New Roman" w:hAnsi="Times New Roman" w:cs="Times New Roman"/>
          <w:lang w:val="es-ES"/>
        </w:rPr>
      </w:pPr>
      <w:r w:rsidRPr="0067008A">
        <w:rPr>
          <w:rFonts w:ascii="Times New Roman" w:hAnsi="Times New Roman" w:cs="Times New Roman"/>
          <w:bCs/>
          <w:lang w:val="es-CO"/>
        </w:rPr>
        <w:t>En el espacio noticioso denominado Hora 25, conducido por el periodista Andrés Carrión, el señor Guillermo Lasso afirma que su patrimonio está en Ecuador y no fuera del territorio nacional; pero en una entrevista con el periodista Carlos Vera, ante la pregunta de su dinero está en el país o afuera, Guillermo Lasso asegura que está en las dos partes. Esto en contraste con una entrevista en la agencia Andes del año 2017 en la que se le pregunta sobre lempresa Andean Investment constituida en islas Caymán.</w:t>
      </w:r>
      <w:r w:rsidR="00677E33" w:rsidRPr="0067008A">
        <w:rPr>
          <w:rFonts w:ascii="Times New Roman" w:hAnsi="Times New Roman" w:cs="Times New Roman"/>
          <w:bCs/>
          <w:lang w:val="es-CO"/>
        </w:rPr>
        <w:t xml:space="preserve">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lang w:val="es-ES"/>
        </w:rPr>
        <w:t xml:space="preserve">Reconoce que tenía empresas off shore, incluso en Panamá, pero que ahora no tiene ninguna vinculación, pues esas empresas fueron disueltas y los fondos pasaron a formar parte de BANISI INTERNATIONAL FOUNDATION, mediante el traspaso de acciones del Banco Banisi y de Pietro Overseas S.A., según consta en la </w:t>
      </w:r>
      <w:r w:rsidRPr="0067008A">
        <w:rPr>
          <w:rFonts w:ascii="Times New Roman" w:hAnsi="Times New Roman" w:cs="Times New Roman"/>
          <w:lang w:val="es-EC"/>
        </w:rPr>
        <w:t xml:space="preserve">RESOLUCIÓN SBP-0106-2020 (de 10 de septiembre de 2020) de la Superintendencia de Bancos de Panamá: </w:t>
      </w:r>
      <w:r w:rsidRPr="0067008A">
        <w:rPr>
          <w:rFonts w:ascii="Times New Roman" w:hAnsi="Times New Roman" w:cs="Times New Roman"/>
          <w:i/>
          <w:lang w:val="es-EC"/>
        </w:rPr>
        <w:t>ARTÍCULO ÚNICO: Autorizar el traspaso del 47.27% de las acciones emitidas y en circulación de BANISI HOLDING, S.A., lo que conlleva al traspaso por parte de PIETRO OVERSEAS, S.A., del 41.59% de las acciones emitidas y en circulación de su propiedad en BANISI HOLDING, S.A., de manera directa, y el 51% de las acciones emitidas y en circulación de BANDERILLA CAPITAL GROUP, S.A., que representan el 5.68% de las acciones de BANISI HOLDING, S.A., de manera indirecta, a favor de BANISI INTERNATIONAL FOUNDATION.</w:t>
      </w:r>
    </w:p>
    <w:p w:rsidR="006A4D59" w:rsidRPr="0067008A" w:rsidRDefault="006A4D59" w:rsidP="00677E33">
      <w:pPr>
        <w:spacing w:after="240" w:line="360" w:lineRule="auto"/>
        <w:jc w:val="both"/>
        <w:rPr>
          <w:rFonts w:ascii="Times New Roman" w:hAnsi="Times New Roman" w:cs="Times New Roman"/>
          <w:b/>
          <w:lang w:val="es-ES"/>
        </w:rPr>
      </w:pPr>
    </w:p>
    <w:p w:rsidR="006A4D59" w:rsidRPr="0067008A" w:rsidRDefault="006A4D59" w:rsidP="00677E33">
      <w:pPr>
        <w:spacing w:after="240" w:line="360" w:lineRule="auto"/>
        <w:jc w:val="both"/>
        <w:rPr>
          <w:rFonts w:ascii="Times New Roman" w:hAnsi="Times New Roman" w:cs="Times New Roman"/>
          <w:b/>
          <w:lang w:val="es-ES"/>
        </w:rPr>
      </w:pPr>
    </w:p>
    <w:p w:rsidR="006A4D59" w:rsidRPr="0067008A" w:rsidRDefault="00921711" w:rsidP="00677E33">
      <w:pPr>
        <w:pStyle w:val="Prrafodelista"/>
        <w:numPr>
          <w:ilvl w:val="0"/>
          <w:numId w:val="42"/>
        </w:numPr>
        <w:spacing w:after="240" w:line="360" w:lineRule="auto"/>
        <w:jc w:val="both"/>
      </w:pPr>
      <w:r w:rsidRPr="0067008A">
        <w:rPr>
          <w:b/>
        </w:rPr>
        <w:t>Análisis y razonamiento realizado por los miembros de la Comisión</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lang w:val="es-EC"/>
        </w:rPr>
        <w:t xml:space="preserve">La sistematización y análisis de la información inherente al proceso de investigación del caso Pandora Papers – Ecuador, se efectuó bajo el marco referente de lo que establece la Constitución y la Ley para verificar la relación entre los hechos y las normas legales, y bajo el marco de la legitimidad para verificar la relación de los hechos y las normas éticas, en el efectivo cumplimiento de la responsabilidad política del Presidente de la República en los casos que se denuncian en los Pandora – Papers Ecuador. </w:t>
      </w:r>
    </w:p>
    <w:p w:rsidR="006A4D59" w:rsidRPr="0067008A" w:rsidRDefault="006A4D59" w:rsidP="00677E33">
      <w:pPr>
        <w:spacing w:after="240" w:line="360" w:lineRule="auto"/>
        <w:rPr>
          <w:rFonts w:ascii="Times New Roman" w:hAnsi="Times New Roman" w:cs="Times New Roman"/>
          <w:lang w:val="es-EC"/>
        </w:rPr>
      </w:pPr>
    </w:p>
    <w:p w:rsidR="006A4D59" w:rsidRPr="0067008A" w:rsidRDefault="00921711" w:rsidP="008D0DFF">
      <w:pPr>
        <w:pStyle w:val="Prrafodelista"/>
        <w:spacing w:after="240" w:line="360" w:lineRule="auto"/>
        <w:ind w:left="2574"/>
        <w:contextualSpacing w:val="0"/>
        <w:jc w:val="both"/>
        <w:rPr>
          <w:b/>
          <w:bCs/>
          <w:sz w:val="22"/>
        </w:rPr>
      </w:pPr>
      <w:r w:rsidRPr="0067008A">
        <w:rPr>
          <w:b/>
          <w:bCs/>
          <w:sz w:val="22"/>
        </w:rPr>
        <w:t>10.1. Sistematización de la Información:</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lang w:val="es-EC"/>
        </w:rPr>
        <w:t xml:space="preserve">Se procedió a organizar la información en un esquema que permita una visualización de conjunto de las empresas y sociedades mencionadas en las publicaciones de los Pandora Papers, junto con la documentación obtenida durante el proceso de esta investigación. El esquema permitió determinar las características que identifican a las empresas, la articulación existente entre ellas, así como observar la validez de la prueba o documentación de soporte para el cumplimiento del objetivo de esta investigación. En el cuadro siguiente se muestra el detalle de cada una de las 11 empresas o sociedades analizadas, con la respectiva especificación de fuente de información y documento de soporte: </w:t>
      </w:r>
    </w:p>
    <w:p w:rsidR="006A4D59" w:rsidRPr="0067008A" w:rsidRDefault="006A4D59" w:rsidP="00677E33">
      <w:pPr>
        <w:spacing w:after="240" w:line="360" w:lineRule="auto"/>
        <w:rPr>
          <w:rFonts w:ascii="Times New Roman" w:hAnsi="Times New Roman" w:cs="Times New Roman"/>
          <w:b/>
          <w:color w:val="FF0000"/>
        </w:rPr>
      </w:pPr>
    </w:p>
    <w:p w:rsidR="006A4D59" w:rsidRPr="0067008A" w:rsidRDefault="001A2FF9" w:rsidP="00677E33">
      <w:pPr>
        <w:spacing w:after="240" w:line="360" w:lineRule="auto"/>
        <w:rPr>
          <w:rFonts w:ascii="Times New Roman" w:hAnsi="Times New Roman" w:cs="Times New Roman"/>
          <w:b/>
          <w:color w:val="FF0000"/>
        </w:rPr>
      </w:pPr>
      <w:r w:rsidRPr="0067008A">
        <w:rPr>
          <w:rFonts w:ascii="Times New Roman" w:hAnsi="Times New Roman" w:cs="Times New Roman"/>
          <w:b/>
          <w:noProof/>
          <w:color w:val="FF0000"/>
        </w:rPr>
      </w:r>
      <w:r w:rsidR="008307DB" w:rsidRPr="0067008A">
        <w:rPr>
          <w:rFonts w:ascii="Times New Roman" w:hAnsi="Times New Roman" w:cs="Times New Roman"/>
          <w:b/>
          <w:noProof/>
          <w:color w:val="FF0000"/>
        </w:rPr>
        <w:object w:dxaOrig="23950" w:dyaOrig="25050">
          <v:shape id="ole_rId29" o:spid="_x0000_i1029" style="width:524.25pt;height:622.7pt" coordsize="" o:spt="100" adj="0,,0" path="" stroked="f">
            <v:stroke joinstyle="miter"/>
            <v:imagedata r:id="rId19" o:title=""/>
            <v:formulas/>
            <v:path o:connecttype="segments"/>
          </v:shape>
          <o:OLEObject Type="Embed" ProgID="Excel.Sheet.12" ShapeID="ole_rId29" DrawAspect="Content" ObjectID="_1697686921" r:id="rId20"/>
        </w:object>
      </w:r>
    </w:p>
    <w:p w:rsidR="0042641D" w:rsidRPr="0067008A" w:rsidRDefault="0042641D" w:rsidP="0042641D">
      <w:pPr>
        <w:spacing w:after="240" w:line="360" w:lineRule="auto"/>
        <w:jc w:val="both"/>
        <w:rPr>
          <w:rFonts w:ascii="Times New Roman" w:hAnsi="Times New Roman" w:cs="Times New Roman"/>
        </w:rPr>
      </w:pPr>
    </w:p>
    <w:p w:rsidR="0042641D" w:rsidRPr="0067008A" w:rsidRDefault="0042641D" w:rsidP="0042641D">
      <w:pPr>
        <w:spacing w:after="240" w:line="360" w:lineRule="auto"/>
        <w:jc w:val="both"/>
        <w:rPr>
          <w:rFonts w:ascii="Times New Roman" w:hAnsi="Times New Roman" w:cs="Times New Roman"/>
        </w:rPr>
      </w:pPr>
    </w:p>
    <w:p w:rsidR="006A4D59" w:rsidRPr="0067008A" w:rsidRDefault="00921711" w:rsidP="00677E33">
      <w:pPr>
        <w:pStyle w:val="Prrafodelista"/>
        <w:numPr>
          <w:ilvl w:val="1"/>
          <w:numId w:val="36"/>
        </w:numPr>
        <w:spacing w:after="240" w:line="360" w:lineRule="auto"/>
        <w:contextualSpacing w:val="0"/>
        <w:jc w:val="both"/>
        <w:rPr>
          <w:sz w:val="22"/>
        </w:rPr>
      </w:pPr>
      <w:r w:rsidRPr="0067008A">
        <w:rPr>
          <w:b/>
          <w:sz w:val="22"/>
        </w:rPr>
        <w:t>Análisis de la Información:</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lang w:val="es-EC"/>
        </w:rPr>
        <w:t>La investigación logró reunir datos de 11 empresas. Partió con el registro de las señaladas en los Pandora Papers y en la medida que se efectuaba la revisión de la documentación, se fue incorporando a la sistematización otras empresas identificadas por su mención en los documentos y por su articulación con las anteriores. De la revisión de datos se determinó, que de las 11 empresas analizadas, (</w:t>
      </w:r>
      <w:r w:rsidR="0042641D" w:rsidRPr="0067008A">
        <w:rPr>
          <w:rFonts w:ascii="Times New Roman" w:hAnsi="Times New Roman" w:cs="Times New Roman"/>
          <w:lang w:val="es-EC"/>
        </w:rPr>
        <w:t>6</w:t>
      </w:r>
      <w:r w:rsidRPr="0067008A">
        <w:rPr>
          <w:rFonts w:ascii="Times New Roman" w:hAnsi="Times New Roman" w:cs="Times New Roman"/>
          <w:lang w:val="es-EC"/>
        </w:rPr>
        <w:t>) tienen domicilio en Panamá, en Delaware (USA), en</w:t>
      </w:r>
      <w:r w:rsidR="00677E33" w:rsidRPr="0067008A">
        <w:rPr>
          <w:rFonts w:ascii="Times New Roman" w:hAnsi="Times New Roman" w:cs="Times New Roman"/>
          <w:lang w:val="es-EC"/>
        </w:rPr>
        <w:t xml:space="preserve"> </w:t>
      </w:r>
      <w:r w:rsidRPr="0067008A">
        <w:rPr>
          <w:rFonts w:ascii="Times New Roman" w:hAnsi="Times New Roman" w:cs="Times New Roman"/>
          <w:lang w:val="es-EC"/>
        </w:rPr>
        <w:t>Dakota del Sur (USA) e</w:t>
      </w:r>
      <w:r w:rsidRPr="0067008A">
        <w:rPr>
          <w:rFonts w:ascii="Times New Roman" w:hAnsi="Times New Roman" w:cs="Times New Roman"/>
          <w:lang w:val="es-ES"/>
        </w:rPr>
        <w:t xml:space="preserve"> </w:t>
      </w:r>
      <w:r w:rsidRPr="0067008A">
        <w:rPr>
          <w:rFonts w:ascii="Times New Roman" w:hAnsi="Times New Roman" w:cs="Times New Roman"/>
          <w:lang w:val="es-EC"/>
        </w:rPr>
        <w:t>Islas Caimán.</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lang w:val="es-EC"/>
        </w:rPr>
        <w:t xml:space="preserve">Las pruebas que refieren la existencia y datos de estas empresas provienen de cuatro (4) fuentes principales: 1) Las provistas por el Consorcio de Periodistas Internacionales (ICIJ) a través de sus publicaciones; 2) Las registradas por el Servicio de Rentas Internas SRI en el Catastro de Grupos Económicos 2020, cuyo acceso público se encuentra en la web; 3) La Declaración Patrimonial de Bienes presentada por Guillermo Lasso Mendoza al asumir el cargo de Presidente de la República; y, 4) La declaración del </w:t>
      </w:r>
      <w:r w:rsidRPr="0067008A">
        <w:rPr>
          <w:rFonts w:ascii="Times New Roman" w:hAnsi="Times New Roman" w:cs="Times New Roman"/>
          <w:lang w:val="es-ES"/>
        </w:rPr>
        <w:t xml:space="preserve">Dr. Lorenzo Calvas Preciado, </w:t>
      </w:r>
      <w:r w:rsidRPr="0067008A">
        <w:rPr>
          <w:rFonts w:ascii="Times New Roman" w:hAnsi="Times New Roman" w:cs="Times New Roman"/>
          <w:lang w:val="es-EC"/>
        </w:rPr>
        <w:t>Procurador Común de la Alianza CREO 21 – PSC 6, presentada junto con la documentación de soporte al Proceso Nº 090-2020.TCE del Recurso Subjetivo Contencioso Electoral, interpuesto ante el Tribunal Contencioso Electoral el 4 de Octubre de 2020 con la objeción a la candidatura Presidencial del señor Guillermo Lasso Mendoza.</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lang w:val="es-EC"/>
        </w:rPr>
        <w:t>A objeto de verificar la legalidad, legitimidad y los valores fundamentales de la ética que deben predominar en un Estado democrático y de derecho, se procedió a considerar como pruebas sustantivas de la investigación a las tres (3) que provienen de las Instituciones Nacionales, que por la información que contienen y por la formalidad que le otorga el carácter de fuente oficial, son asumidas en calidad de eje para el análisis de este proceso, en el marco de lo que establecen la Constitución de la República y las leyes. En consecuencia, se declara como prueba sustantiva de esta investigación, a la documentación de soporte que proviene de las siguientes fuentes institucionales nacionales:</w:t>
      </w:r>
    </w:p>
    <w:p w:rsidR="006A4D59" w:rsidRPr="0067008A" w:rsidRDefault="00921711" w:rsidP="0042641D">
      <w:pPr>
        <w:numPr>
          <w:ilvl w:val="0"/>
          <w:numId w:val="32"/>
        </w:numPr>
        <w:spacing w:after="240" w:line="360" w:lineRule="auto"/>
        <w:jc w:val="both"/>
        <w:rPr>
          <w:rFonts w:ascii="Times New Roman" w:hAnsi="Times New Roman" w:cs="Times New Roman"/>
        </w:rPr>
      </w:pPr>
      <w:r w:rsidRPr="0067008A">
        <w:rPr>
          <w:rFonts w:ascii="Times New Roman" w:hAnsi="Times New Roman" w:cs="Times New Roman"/>
          <w:lang w:val="es-ES"/>
        </w:rPr>
        <w:t>El Catastro de Grupos Económicos 2020,</w:t>
      </w:r>
      <w:r w:rsidRPr="0067008A">
        <w:rPr>
          <w:rFonts w:ascii="Times New Roman" w:hAnsi="Times New Roman" w:cs="Times New Roman"/>
          <w:lang w:val="es-EC"/>
        </w:rPr>
        <w:t xml:space="preserve"> </w:t>
      </w:r>
      <w:r w:rsidRPr="0067008A">
        <w:rPr>
          <w:rFonts w:ascii="Times New Roman" w:hAnsi="Times New Roman" w:cs="Times New Roman"/>
          <w:lang w:val="es-ES"/>
        </w:rPr>
        <w:t>Conformación y Comportamiento Tributario, publicado por el Servicio de Rentas Internas SRI</w:t>
      </w:r>
      <w:r w:rsidRPr="0067008A">
        <w:rPr>
          <w:rStyle w:val="Ancladenotaalpie"/>
          <w:rFonts w:ascii="Times New Roman" w:hAnsi="Times New Roman" w:cs="Times New Roman"/>
          <w:lang w:val="es-ES"/>
        </w:rPr>
        <w:footnoteReference w:id="3"/>
      </w:r>
      <w:r w:rsidRPr="0067008A">
        <w:rPr>
          <w:rFonts w:ascii="Times New Roman" w:hAnsi="Times New Roman" w:cs="Times New Roman"/>
          <w:lang w:val="es-ES"/>
        </w:rPr>
        <w:t>,</w:t>
      </w:r>
    </w:p>
    <w:p w:rsidR="006A4D59" w:rsidRPr="0067008A" w:rsidRDefault="00921711" w:rsidP="00677E33">
      <w:pPr>
        <w:numPr>
          <w:ilvl w:val="0"/>
          <w:numId w:val="32"/>
        </w:numPr>
        <w:spacing w:after="240" w:line="360" w:lineRule="auto"/>
        <w:jc w:val="both"/>
        <w:rPr>
          <w:rFonts w:ascii="Times New Roman" w:hAnsi="Times New Roman" w:cs="Times New Roman"/>
        </w:rPr>
      </w:pPr>
      <w:r w:rsidRPr="0067008A">
        <w:rPr>
          <w:rFonts w:ascii="Times New Roman" w:hAnsi="Times New Roman" w:cs="Times New Roman"/>
          <w:lang w:val="es-EC"/>
        </w:rPr>
        <w:t>La declaración</w:t>
      </w:r>
      <w:r w:rsidRPr="0067008A">
        <w:rPr>
          <w:rFonts w:ascii="Times New Roman" w:hAnsi="Times New Roman" w:cs="Times New Roman"/>
          <w:lang w:val="es-ES"/>
        </w:rPr>
        <w:t xml:space="preserve"> y documentación de soporte presentada por el Dr. Lorenzo Calvas Preciado, Procurador Común de la Alianza CREO 21 – PSC 6, ante el Tribunal Contencioso Electoral en el Proceso Nº 090-2020.TCE del Recurso Subjetivo Contencioso Electoral, interpuesto el 4 de Octubre de 2020,</w:t>
      </w:r>
    </w:p>
    <w:p w:rsidR="006A4D59" w:rsidRPr="0067008A" w:rsidRDefault="006A4D59" w:rsidP="00677E33">
      <w:pPr>
        <w:spacing w:after="240" w:line="360" w:lineRule="auto"/>
        <w:ind w:left="720"/>
        <w:jc w:val="both"/>
        <w:rPr>
          <w:rFonts w:ascii="Times New Roman" w:hAnsi="Times New Roman" w:cs="Times New Roman"/>
          <w:lang w:val="es-ES"/>
        </w:rPr>
      </w:pPr>
    </w:p>
    <w:p w:rsidR="0042641D" w:rsidRPr="0067008A" w:rsidRDefault="00921711" w:rsidP="0042641D">
      <w:pPr>
        <w:numPr>
          <w:ilvl w:val="0"/>
          <w:numId w:val="32"/>
        </w:numPr>
        <w:spacing w:after="240" w:line="360" w:lineRule="auto"/>
        <w:jc w:val="both"/>
        <w:rPr>
          <w:rFonts w:ascii="Times New Roman" w:hAnsi="Times New Roman" w:cs="Times New Roman"/>
        </w:rPr>
      </w:pPr>
      <w:r w:rsidRPr="0067008A">
        <w:rPr>
          <w:rFonts w:ascii="Times New Roman" w:hAnsi="Times New Roman" w:cs="Times New Roman"/>
          <w:lang w:val="es-ES"/>
        </w:rPr>
        <w:t>La Declaración Patrimonial de Bienes presentada por el Señor Guillermo Lasso Mendoza ante la Contraloría General del Estado al asumir el cargo de Presidente de la República</w:t>
      </w:r>
    </w:p>
    <w:p w:rsidR="0042641D" w:rsidRPr="0067008A" w:rsidRDefault="0042641D" w:rsidP="0042641D">
      <w:pPr>
        <w:spacing w:after="240" w:line="360" w:lineRule="auto"/>
        <w:jc w:val="both"/>
        <w:rPr>
          <w:rFonts w:ascii="Times New Roman" w:hAnsi="Times New Roman" w:cs="Times New Roman"/>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b/>
          <w:lang w:val="es-ES"/>
        </w:rPr>
        <w:t>Verificación de Cumplimiento con lo que Establece la Ley Orgánica de Aplicación a la Consulta Popular 2017; Código de la Democracia:</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lang w:val="es-EC"/>
        </w:rPr>
        <w:t>El marco legal del análisis está dictaminado por lo que establece la Ley Orgánica de Aplicación a la Consulta Popular 2017, misma que en su Exposición de Motivos, define los siguientes preceptos respecto a los paraísos fiscales y sus repercusiones en la economía, en las condiciones sociales y en el funcionamiento de los Estados:</w:t>
      </w:r>
    </w:p>
    <w:p w:rsidR="006A4D59" w:rsidRPr="0067008A" w:rsidRDefault="00921711" w:rsidP="0042641D">
      <w:pPr>
        <w:spacing w:after="240" w:line="360" w:lineRule="auto"/>
        <w:ind w:left="720"/>
        <w:jc w:val="both"/>
        <w:rPr>
          <w:rFonts w:ascii="Times New Roman" w:hAnsi="Times New Roman" w:cs="Times New Roman"/>
        </w:rPr>
      </w:pPr>
      <w:r w:rsidRPr="0067008A">
        <w:rPr>
          <w:rFonts w:ascii="Times New Roman" w:hAnsi="Times New Roman" w:cs="Times New Roman"/>
          <w:i/>
          <w:lang w:val="es-EC"/>
        </w:rPr>
        <w:t>Los paraísos fiscales facilitan el aumento de la concentración de la riqueza y ahondan las desigualdades sociales, habilitan a los que más poseen para mover su riqueza a lugares donde no tienen que declararla y así evitar cargas fiscales, en perjuicio de sus conciudadanos, para pagar menos en proporción a su renta, contribuyendo así a agravar la desigualdad.</w:t>
      </w:r>
    </w:p>
    <w:p w:rsidR="006A4D59" w:rsidRPr="0067008A" w:rsidRDefault="00921711" w:rsidP="0042641D">
      <w:pPr>
        <w:spacing w:after="240" w:line="360" w:lineRule="auto"/>
        <w:ind w:left="720"/>
        <w:jc w:val="both"/>
        <w:rPr>
          <w:rFonts w:ascii="Times New Roman" w:hAnsi="Times New Roman" w:cs="Times New Roman"/>
        </w:rPr>
      </w:pPr>
      <w:r w:rsidRPr="0067008A">
        <w:rPr>
          <w:rFonts w:ascii="Times New Roman" w:hAnsi="Times New Roman" w:cs="Times New Roman"/>
          <w:i/>
          <w:lang w:val="es-EC"/>
        </w:rPr>
        <w:t>En el ámbito regional, el 22% de la riqueza de América Latina se encuentra en empresas offshore. Esto da como resultado que cada año se dejen de recaudar 320 mil millones por evasión y elusión fiscal, el equivalente al 6.3% del producto interno bruto PIB regional.</w:t>
      </w:r>
    </w:p>
    <w:p w:rsidR="006A4D59" w:rsidRPr="0067008A" w:rsidRDefault="00921711" w:rsidP="0042641D">
      <w:pPr>
        <w:spacing w:after="240" w:line="360" w:lineRule="auto"/>
        <w:ind w:left="720"/>
        <w:jc w:val="both"/>
        <w:rPr>
          <w:rFonts w:ascii="Times New Roman" w:hAnsi="Times New Roman" w:cs="Times New Roman"/>
        </w:rPr>
      </w:pPr>
      <w:r w:rsidRPr="0067008A">
        <w:rPr>
          <w:rFonts w:ascii="Times New Roman" w:hAnsi="Times New Roman" w:cs="Times New Roman"/>
          <w:i/>
          <w:lang w:val="es-EC"/>
        </w:rPr>
        <w:t>En el Ecuador, según datos del Servicio de Rentas Internas, el 50% del capital social de los grandes contribuyentes viene del exterior, de los cuales el 70% es triangulado desde paraísos fiscales.</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lang w:val="es-EC"/>
        </w:rPr>
        <w:t xml:space="preserve">De igual forma, en los </w:t>
      </w:r>
      <w:r w:rsidR="0042641D" w:rsidRPr="0067008A">
        <w:rPr>
          <w:rFonts w:ascii="Times New Roman" w:hAnsi="Times New Roman" w:cs="Times New Roman"/>
          <w:lang w:val="es-EC"/>
        </w:rPr>
        <w:t>c</w:t>
      </w:r>
      <w:r w:rsidRPr="0067008A">
        <w:rPr>
          <w:rFonts w:ascii="Times New Roman" w:hAnsi="Times New Roman" w:cs="Times New Roman"/>
          <w:lang w:val="es-EC"/>
        </w:rPr>
        <w:t>onsiderandos de la Ley en mención consta, con respecto al oficio No. T.7328SGJ16422 del 14 de julio del 2016 remitido por el Presidente Constitucional de la República a la Corte Constitucional</w:t>
      </w:r>
      <w:r w:rsidR="0042641D" w:rsidRPr="0067008A">
        <w:rPr>
          <w:rFonts w:ascii="Times New Roman" w:hAnsi="Times New Roman" w:cs="Times New Roman"/>
          <w:lang w:val="es-EC"/>
        </w:rPr>
        <w:t xml:space="preserve"> </w:t>
      </w:r>
      <w:r w:rsidRPr="0067008A">
        <w:rPr>
          <w:rFonts w:ascii="Times New Roman" w:hAnsi="Times New Roman" w:cs="Times New Roman"/>
          <w:lang w:val="es-EC"/>
        </w:rPr>
        <w:t xml:space="preserve"> la finalidad del proyecto de consulta que señala claramente:</w:t>
      </w:r>
    </w:p>
    <w:p w:rsidR="006A4D59" w:rsidRPr="0067008A" w:rsidRDefault="0042641D" w:rsidP="0042641D">
      <w:pPr>
        <w:spacing w:after="240" w:line="360" w:lineRule="auto"/>
        <w:ind w:left="720"/>
        <w:jc w:val="both"/>
        <w:rPr>
          <w:rFonts w:ascii="Times New Roman" w:hAnsi="Times New Roman" w:cs="Times New Roman"/>
        </w:rPr>
      </w:pPr>
      <w:r w:rsidRPr="0067008A">
        <w:rPr>
          <w:rFonts w:ascii="Times New Roman" w:hAnsi="Times New Roman" w:cs="Times New Roman"/>
          <w:lang w:val="es-EC"/>
        </w:rPr>
        <w:t>“</w:t>
      </w:r>
      <w:r w:rsidR="00921711" w:rsidRPr="0067008A">
        <w:rPr>
          <w:rFonts w:ascii="Times New Roman" w:hAnsi="Times New Roman" w:cs="Times New Roman"/>
          <w:lang w:val="es-EC"/>
        </w:rPr>
        <w:t xml:space="preserve"> …</w:t>
      </w:r>
      <w:r w:rsidR="00921711" w:rsidRPr="0067008A">
        <w:rPr>
          <w:rFonts w:ascii="Times New Roman" w:hAnsi="Times New Roman" w:cs="Times New Roman"/>
          <w:i/>
          <w:lang w:val="es-EC"/>
        </w:rPr>
        <w:t>a fin de establecer una prohibición para el desempeño de una dignidad de elección popular o para ser servidor público, consistente en que no se podrá tener bienes o capitales, de cualquier naturaleza, en paraísos fiscales, debiendo, quienes se encontraren incursos en dicha prohibición, dejar de tenerlos dentro del plazo máximo de un año contados a partir de la fecha de promulgación de los resultados de la consulta popular.</w:t>
      </w:r>
      <w:r w:rsidRPr="0067008A">
        <w:rPr>
          <w:rFonts w:ascii="Times New Roman" w:hAnsi="Times New Roman" w:cs="Times New Roman"/>
          <w:i/>
          <w:lang w:val="es-EC"/>
        </w:rPr>
        <w:t>”</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lang w:val="es-EC"/>
        </w:rPr>
        <w:t>Se toma como referente el dictamen de los siguientes artículos de la Ley, que definen el ámbito de aplicación y las prohibiciones expresas y demás disposiciones respecto a las posesiones en las jurisdicciones reconocidas como paraísos fiscales:</w:t>
      </w:r>
    </w:p>
    <w:p w:rsidR="006A4D59" w:rsidRPr="0067008A" w:rsidRDefault="00921711" w:rsidP="00677E33">
      <w:pPr>
        <w:spacing w:after="240" w:line="360" w:lineRule="auto"/>
        <w:ind w:left="720"/>
        <w:jc w:val="both"/>
        <w:rPr>
          <w:rFonts w:ascii="Times New Roman" w:hAnsi="Times New Roman" w:cs="Times New Roman"/>
        </w:rPr>
      </w:pPr>
      <w:r w:rsidRPr="0067008A">
        <w:rPr>
          <w:rFonts w:ascii="Times New Roman" w:hAnsi="Times New Roman" w:cs="Times New Roman"/>
          <w:i/>
          <w:lang w:val="es-EC"/>
        </w:rPr>
        <w:t xml:space="preserve">Art. 1.- </w:t>
      </w:r>
      <w:r w:rsidRPr="0067008A">
        <w:rPr>
          <w:rFonts w:ascii="Times New Roman" w:hAnsi="Times New Roman" w:cs="Times New Roman"/>
          <w:b/>
          <w:bCs/>
          <w:i/>
          <w:lang w:val="es-EC"/>
        </w:rPr>
        <w:t>Ámbito.</w:t>
      </w:r>
      <w:r w:rsidRPr="0067008A">
        <w:rPr>
          <w:rFonts w:ascii="Times New Roman" w:hAnsi="Times New Roman" w:cs="Times New Roman"/>
          <w:bCs/>
          <w:i/>
          <w:lang w:val="es-EC"/>
        </w:rPr>
        <w:t xml:space="preserve"> </w:t>
      </w:r>
      <w:r w:rsidRPr="0067008A">
        <w:rPr>
          <w:rFonts w:ascii="Times New Roman" w:hAnsi="Times New Roman" w:cs="Times New Roman"/>
          <w:i/>
          <w:lang w:val="es-EC"/>
        </w:rPr>
        <w:t>La presente ley, se aplicará:</w:t>
      </w:r>
    </w:p>
    <w:p w:rsidR="006A4D59" w:rsidRPr="0067008A" w:rsidRDefault="00921711" w:rsidP="00677E33">
      <w:pPr>
        <w:spacing w:after="240" w:line="360" w:lineRule="auto"/>
        <w:ind w:left="1440"/>
        <w:jc w:val="both"/>
        <w:rPr>
          <w:rFonts w:ascii="Times New Roman" w:hAnsi="Times New Roman" w:cs="Times New Roman"/>
        </w:rPr>
      </w:pPr>
      <w:r w:rsidRPr="0067008A">
        <w:rPr>
          <w:rFonts w:ascii="Times New Roman" w:hAnsi="Times New Roman" w:cs="Times New Roman"/>
          <w:i/>
          <w:lang w:val="es-EC"/>
        </w:rPr>
        <w:t>1. A las personas que ostenten una dignidad de elección popular de conformidad con lo previsto en la Constitución de la República del Ecuador.</w:t>
      </w:r>
    </w:p>
    <w:p w:rsidR="006A4D59" w:rsidRPr="0067008A" w:rsidRDefault="00921711" w:rsidP="00677E33">
      <w:pPr>
        <w:spacing w:after="240" w:line="360" w:lineRule="auto"/>
        <w:ind w:left="1440"/>
        <w:jc w:val="both"/>
        <w:rPr>
          <w:rFonts w:ascii="Times New Roman" w:hAnsi="Times New Roman" w:cs="Times New Roman"/>
        </w:rPr>
      </w:pPr>
      <w:r w:rsidRPr="0067008A">
        <w:rPr>
          <w:rFonts w:ascii="Times New Roman" w:hAnsi="Times New Roman" w:cs="Times New Roman"/>
          <w:i/>
          <w:lang w:val="es-EC"/>
        </w:rPr>
        <w:t>2. A las personas que sean consideradas como servidoras o servidores públicos, en los términos de la Constitución y la ley.</w:t>
      </w:r>
    </w:p>
    <w:p w:rsidR="006A4D59" w:rsidRPr="0067008A" w:rsidRDefault="00921711" w:rsidP="0042641D">
      <w:pPr>
        <w:spacing w:after="240" w:line="360" w:lineRule="auto"/>
        <w:ind w:left="1440"/>
        <w:jc w:val="both"/>
        <w:rPr>
          <w:rFonts w:ascii="Times New Roman" w:hAnsi="Times New Roman" w:cs="Times New Roman"/>
        </w:rPr>
      </w:pPr>
      <w:r w:rsidRPr="0067008A">
        <w:rPr>
          <w:rFonts w:ascii="Times New Roman" w:hAnsi="Times New Roman" w:cs="Times New Roman"/>
          <w:i/>
          <w:lang w:val="es-EC"/>
        </w:rPr>
        <w:t>3. A las personas que sean candidatas o se encuentren postulando para un cargo público de elección popular.</w:t>
      </w:r>
    </w:p>
    <w:p w:rsidR="006A4D59" w:rsidRPr="0067008A" w:rsidRDefault="00921711" w:rsidP="0042641D">
      <w:pPr>
        <w:spacing w:after="240" w:line="360" w:lineRule="auto"/>
        <w:ind w:left="720"/>
        <w:jc w:val="both"/>
        <w:rPr>
          <w:rFonts w:ascii="Times New Roman" w:hAnsi="Times New Roman" w:cs="Times New Roman"/>
        </w:rPr>
      </w:pPr>
      <w:r w:rsidRPr="0067008A">
        <w:rPr>
          <w:rFonts w:ascii="Times New Roman" w:hAnsi="Times New Roman" w:cs="Times New Roman"/>
          <w:i/>
          <w:lang w:val="es-EC"/>
        </w:rPr>
        <w:t xml:space="preserve">Art. 4.- </w:t>
      </w:r>
      <w:r w:rsidRPr="0067008A">
        <w:rPr>
          <w:rFonts w:ascii="Times New Roman" w:hAnsi="Times New Roman" w:cs="Times New Roman"/>
          <w:b/>
          <w:i/>
          <w:lang w:val="es-EC"/>
        </w:rPr>
        <w:t>Prohibición de ocupación y desempeño de cargos en el sector público</w:t>
      </w:r>
      <w:r w:rsidRPr="0067008A">
        <w:rPr>
          <w:rFonts w:ascii="Times New Roman" w:hAnsi="Times New Roman" w:cs="Times New Roman"/>
          <w:i/>
          <w:lang w:val="es-EC"/>
        </w:rPr>
        <w:t>.</w:t>
      </w:r>
      <w:r w:rsidRPr="0067008A">
        <w:rPr>
          <w:rFonts w:ascii="Times New Roman" w:hAnsi="Times New Roman" w:cs="Times New Roman"/>
          <w:i/>
          <w:lang w:val="es-EC"/>
        </w:rPr>
        <w:softHyphen/>
        <w:t xml:space="preserve"> Las personas señaladas en el artículo 1 de esta Ley no podrán ser propietarios directos o indirectos de bienes o capitales, de cualquier naturaleza, en jurisdicciones o regímenes considerados como paraísos fiscales. Tampoco podrán ostentar condición de directivos en sociedades establecidas, constituidas o domiciliadas en tales jurisdicciones o regímenes. La referencia a propietario indirecto incluye:</w:t>
      </w:r>
    </w:p>
    <w:p w:rsidR="006A4D59" w:rsidRPr="0067008A" w:rsidRDefault="00921711" w:rsidP="0042641D">
      <w:pPr>
        <w:spacing w:after="240" w:line="360" w:lineRule="auto"/>
        <w:ind w:left="1440"/>
        <w:jc w:val="both"/>
        <w:rPr>
          <w:rFonts w:ascii="Times New Roman" w:hAnsi="Times New Roman" w:cs="Times New Roman"/>
        </w:rPr>
      </w:pPr>
      <w:r w:rsidRPr="0067008A">
        <w:rPr>
          <w:rFonts w:ascii="Times New Roman" w:hAnsi="Times New Roman" w:cs="Times New Roman"/>
          <w:i/>
          <w:lang w:val="es-ES"/>
        </w:rPr>
        <w:t>1. La participación en capitales bajo condición de socios, accionistas, constituyentes, beneficiarios o cualquier otra modalidad, respecto de cualquier tipo de derechos representativos de capital, en sociedades, que a su vez sean propietarias de capitales en jurisdicciones o regímenes considerados como paraísos fiscales. Se excluyen las inversiones en fondos de ahorros, fondos de jubilación, seguros de vida, seguros de salud, realizadas en empresas no domiciliadas en paraísos fiscales, así como las inversiones en acciones de compañías de capital abierto domiciliadas en Ecuador o en jurisdicciones que no sean paraísos fiscales, siempre que sean accionistas minoritarios. Salvo que se demuestre, con prueba en contrario, que estas inversiones obedecen a tramas de evasión de la prohibición contenida en esta Ley.</w:t>
      </w:r>
    </w:p>
    <w:p w:rsidR="006A4D59" w:rsidRPr="0067008A" w:rsidRDefault="00921711" w:rsidP="0042641D">
      <w:pPr>
        <w:spacing w:after="240" w:line="360" w:lineRule="auto"/>
        <w:ind w:left="1440"/>
        <w:jc w:val="both"/>
        <w:rPr>
          <w:rFonts w:ascii="Times New Roman" w:hAnsi="Times New Roman" w:cs="Times New Roman"/>
        </w:rPr>
      </w:pPr>
      <w:r w:rsidRPr="0067008A">
        <w:rPr>
          <w:rFonts w:ascii="Times New Roman" w:hAnsi="Times New Roman" w:cs="Times New Roman"/>
          <w:i/>
          <w:lang w:val="es-ES"/>
        </w:rPr>
        <w:t>2. La propiedad de bienes a través de sociedades de las cuales sean socios, accionistas, constituyentes o beneficiarios bajo cualquier modalidad y que funjan como propietarias de tales bienes en jurisdicciones o regímenes considerados como paraísos fiscales.</w:t>
      </w:r>
    </w:p>
    <w:p w:rsidR="006A4D59" w:rsidRPr="0067008A" w:rsidRDefault="00921711" w:rsidP="0042641D">
      <w:pPr>
        <w:spacing w:after="240" w:line="360" w:lineRule="auto"/>
        <w:ind w:left="1440"/>
        <w:jc w:val="both"/>
        <w:rPr>
          <w:rFonts w:ascii="Times New Roman" w:hAnsi="Times New Roman" w:cs="Times New Roman"/>
        </w:rPr>
      </w:pPr>
      <w:r w:rsidRPr="0067008A">
        <w:rPr>
          <w:rFonts w:ascii="Times New Roman" w:hAnsi="Times New Roman" w:cs="Times New Roman"/>
          <w:i/>
          <w:lang w:val="es-ES"/>
        </w:rPr>
        <w:t>De igual forma, la referencia a propietario indirecto aplica cuando el sujeto obligado sea quien tenga legal, económicamente o de hecho el poder de controlar la propiedad en cuestión</w:t>
      </w:r>
      <w:r w:rsidRPr="0067008A">
        <w:rPr>
          <w:rFonts w:ascii="Times New Roman" w:hAnsi="Times New Roman" w:cs="Times New Roman"/>
          <w:i/>
        </w:rPr>
        <w:t>;</w:t>
      </w:r>
      <w:r w:rsidRPr="0067008A">
        <w:rPr>
          <w:rFonts w:ascii="Times New Roman" w:hAnsi="Times New Roman" w:cs="Times New Roman"/>
          <w:i/>
          <w:lang w:val="es-ES"/>
        </w:rPr>
        <w:t xml:space="preserve"> así como de utilizar, disfrutar, beneficiarse o disponer de la misma.</w:t>
      </w:r>
    </w:p>
    <w:p w:rsidR="006A4D59" w:rsidRPr="0067008A" w:rsidRDefault="00921711" w:rsidP="0042641D">
      <w:pPr>
        <w:spacing w:after="240" w:line="360" w:lineRule="auto"/>
        <w:ind w:left="1440"/>
        <w:jc w:val="both"/>
        <w:rPr>
          <w:rFonts w:ascii="Times New Roman" w:hAnsi="Times New Roman" w:cs="Times New Roman"/>
        </w:rPr>
      </w:pPr>
      <w:r w:rsidRPr="0067008A">
        <w:rPr>
          <w:rFonts w:ascii="Times New Roman" w:hAnsi="Times New Roman" w:cs="Times New Roman"/>
          <w:i/>
          <w:lang w:val="es-ES"/>
        </w:rPr>
        <w:t>Para el efecto, se considerará el concepto de sociedad previsto en el artículo 98 de la Ley de Régimen Tributario Interno.</w:t>
      </w:r>
    </w:p>
    <w:p w:rsidR="006A4D59" w:rsidRPr="0067008A" w:rsidRDefault="00921711" w:rsidP="00677E33">
      <w:pPr>
        <w:spacing w:after="240" w:line="360" w:lineRule="auto"/>
        <w:ind w:left="1440"/>
        <w:jc w:val="both"/>
        <w:rPr>
          <w:rFonts w:ascii="Times New Roman" w:hAnsi="Times New Roman" w:cs="Times New Roman"/>
        </w:rPr>
      </w:pPr>
      <w:r w:rsidRPr="0067008A">
        <w:rPr>
          <w:rFonts w:ascii="Times New Roman" w:hAnsi="Times New Roman" w:cs="Times New Roman"/>
          <w:i/>
          <w:lang w:val="es-ES"/>
        </w:rPr>
        <w:t>Se presume la propiedad de bienes o capitales en aquellos casos en los que el cónyuge, persona con quien mantenga unión de hecho o hijos no emancipados de la persona obligada, sean propietarios de bienes o capitales, conforme lo establecido en este artículo, salvo prueba en contrario que demuestre que la propiedad de tales personas no obedece a tramas de evasión de la prohibición contenida en esta Ley.</w:t>
      </w:r>
    </w:p>
    <w:p w:rsidR="006A4D59" w:rsidRPr="0067008A" w:rsidRDefault="006A4D59" w:rsidP="00677E33">
      <w:pPr>
        <w:spacing w:after="240" w:line="360" w:lineRule="auto"/>
        <w:ind w:left="1440"/>
        <w:jc w:val="both"/>
        <w:rPr>
          <w:rFonts w:ascii="Times New Roman" w:hAnsi="Times New Roman" w:cs="Times New Roman"/>
          <w:i/>
          <w:lang w:val="es-ES"/>
        </w:rPr>
      </w:pPr>
    </w:p>
    <w:p w:rsidR="006A4D59" w:rsidRPr="0067008A" w:rsidRDefault="00921711" w:rsidP="00677E33">
      <w:pPr>
        <w:spacing w:after="240" w:line="360" w:lineRule="auto"/>
        <w:ind w:left="1440"/>
        <w:jc w:val="both"/>
        <w:rPr>
          <w:rFonts w:ascii="Times New Roman" w:hAnsi="Times New Roman" w:cs="Times New Roman"/>
        </w:rPr>
      </w:pPr>
      <w:r w:rsidRPr="0067008A">
        <w:rPr>
          <w:rFonts w:ascii="Times New Roman" w:hAnsi="Times New Roman" w:cs="Times New Roman"/>
          <w:b/>
          <w:i/>
          <w:lang w:val="es-ES"/>
        </w:rPr>
        <w:t>DISPOSICIÓN GENERAL</w:t>
      </w:r>
    </w:p>
    <w:p w:rsidR="006A4D59" w:rsidRPr="0067008A" w:rsidRDefault="00921711" w:rsidP="0042641D">
      <w:pPr>
        <w:spacing w:after="240" w:line="360" w:lineRule="auto"/>
        <w:ind w:left="1440"/>
        <w:jc w:val="both"/>
        <w:rPr>
          <w:rFonts w:ascii="Times New Roman" w:hAnsi="Times New Roman" w:cs="Times New Roman"/>
        </w:rPr>
      </w:pPr>
      <w:r w:rsidRPr="0067008A">
        <w:rPr>
          <w:rFonts w:ascii="Times New Roman" w:hAnsi="Times New Roman" w:cs="Times New Roman"/>
          <w:i/>
          <w:lang w:val="es-ES"/>
        </w:rPr>
        <w:t>Única.</w:t>
      </w:r>
      <w:r w:rsidRPr="0067008A">
        <w:rPr>
          <w:rFonts w:ascii="Times New Roman" w:hAnsi="Times New Roman" w:cs="Times New Roman"/>
          <w:i/>
          <w:lang w:val="es-ES"/>
        </w:rPr>
        <w:softHyphen/>
        <w:t xml:space="preserve"> Sin perjuicio de lo previsto en el artículo innumerado agregado inmediatamente antes del artículo 5 de la Ley de Régimen Tributario Interno, se consideran paraísos fiscales las jurisdicciones incluidas en la lista señalada en el artículo 2 de la Resolución No. NAC</w:t>
      </w:r>
      <w:r w:rsidRPr="0067008A">
        <w:rPr>
          <w:rFonts w:ascii="Times New Roman" w:hAnsi="Times New Roman" w:cs="Times New Roman"/>
          <w:i/>
          <w:lang w:val="es-ES"/>
        </w:rPr>
        <w:softHyphen/>
        <w:t>DGERCGC15</w:t>
      </w:r>
      <w:r w:rsidRPr="0067008A">
        <w:rPr>
          <w:rFonts w:ascii="Times New Roman" w:hAnsi="Times New Roman" w:cs="Times New Roman"/>
          <w:i/>
          <w:lang w:val="es-ES"/>
        </w:rPr>
        <w:softHyphen/>
        <w:t>00000052 del Servicio de Rentas Internas, publicada en el Suplemento del Registro Oficial No. 430 de 3 de febrero de 2015 y sus reformas, vigente al 19 de febrero de 2017, así como los regímenes a los que se refiere la Circular No. NACDGECCGC12</w:t>
      </w:r>
      <w:r w:rsidRPr="0067008A">
        <w:rPr>
          <w:rFonts w:ascii="Times New Roman" w:hAnsi="Times New Roman" w:cs="Times New Roman"/>
          <w:i/>
          <w:lang w:val="es-ES"/>
        </w:rPr>
        <w:softHyphen/>
        <w:t>00013 publicada en el Registro Oficial No. 756 d30 de julio de 2012, las que tendrán tratamiento de paraíso fiscal mientras dicha entidad no determine lo contrario.</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lang w:val="es-ES"/>
        </w:rPr>
        <w:t xml:space="preserve">Con </w:t>
      </w:r>
      <w:r w:rsidRPr="0067008A">
        <w:rPr>
          <w:rFonts w:ascii="Times New Roman" w:hAnsi="Times New Roman" w:cs="Times New Roman"/>
          <w:lang w:val="es-EC"/>
        </w:rPr>
        <w:t>respaldo a los elementos jurídicos, de cumplimiento obligatorio se asumió como parámetro de verificación de prueba, lo dictaminado por la Ley Orgánica de Aplicación a la Consulta Popular 2017, en sus artículos pertinentes para el estudio del caso. De esta forma, los parámetros con los que se valoró y seleccionó la documentación recolectada para asumirla en calidad de prueba en la investigación, son los siguientes:</w:t>
      </w:r>
    </w:p>
    <w:p w:rsidR="006A4D59" w:rsidRPr="0067008A" w:rsidRDefault="006A4D59" w:rsidP="00677E33">
      <w:pPr>
        <w:spacing w:after="240" w:line="360" w:lineRule="auto"/>
        <w:jc w:val="both"/>
        <w:rPr>
          <w:rFonts w:ascii="Times New Roman" w:hAnsi="Times New Roman" w:cs="Times New Roman"/>
          <w:lang w:val="es-EC"/>
        </w:rPr>
      </w:pPr>
    </w:p>
    <w:p w:rsidR="006A4D59" w:rsidRPr="0067008A" w:rsidRDefault="001A2FF9" w:rsidP="00677E33">
      <w:pPr>
        <w:spacing w:after="240" w:line="360" w:lineRule="auto"/>
        <w:jc w:val="center"/>
        <w:rPr>
          <w:rFonts w:ascii="Times New Roman" w:hAnsi="Times New Roman" w:cs="Times New Roman"/>
        </w:rPr>
      </w:pPr>
      <w:r w:rsidRPr="00CC67C2">
        <w:rPr>
          <w:rFonts w:ascii="Times New Roman" w:hAnsi="Times New Roman" w:cs="Times New Roman"/>
          <w:noProof/>
        </w:rPr>
        <w:drawing>
          <wp:inline distT="0" distB="0" distL="0" distR="0">
            <wp:extent cx="4820920" cy="2846070"/>
            <wp:effectExtent l="0" t="0" r="0" b="0"/>
            <wp:docPr id="6" name="Imagen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3"/>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20920" cy="2846070"/>
                    </a:xfrm>
                    <a:prstGeom prst="rect">
                      <a:avLst/>
                    </a:prstGeom>
                    <a:noFill/>
                    <a:ln>
                      <a:noFill/>
                    </a:ln>
                  </pic:spPr>
                </pic:pic>
              </a:graphicData>
            </a:graphic>
          </wp:inline>
        </w:drawing>
      </w:r>
    </w:p>
    <w:p w:rsidR="006A4D59" w:rsidRPr="0067008A" w:rsidRDefault="006A4D59" w:rsidP="00677E33">
      <w:pPr>
        <w:spacing w:after="240" w:line="360" w:lineRule="auto"/>
        <w:jc w:val="both"/>
        <w:rPr>
          <w:rFonts w:ascii="Times New Roman" w:hAnsi="Times New Roman" w:cs="Times New Roman"/>
          <w:lang w:val="es-EC"/>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lang w:val="es-ES"/>
        </w:rPr>
        <w:t>Definidos los parámetros, se procedió a la revisión de la documentación sistematizada para la verificación de prueba de soporte, con los siguientes resultados:</w:t>
      </w:r>
    </w:p>
    <w:p w:rsidR="006A4D59" w:rsidRPr="0067008A" w:rsidRDefault="006A4D59" w:rsidP="00677E33">
      <w:pPr>
        <w:spacing w:after="240" w:line="360" w:lineRule="auto"/>
        <w:jc w:val="both"/>
        <w:rPr>
          <w:rFonts w:ascii="Times New Roman" w:hAnsi="Times New Roman" w:cs="Times New Roman"/>
          <w:lang w:val="es-ES"/>
        </w:rPr>
      </w:pPr>
    </w:p>
    <w:p w:rsidR="0042641D" w:rsidRPr="0067008A" w:rsidRDefault="0042641D" w:rsidP="00677E33">
      <w:pPr>
        <w:spacing w:after="240" w:line="360" w:lineRule="auto"/>
        <w:jc w:val="both"/>
        <w:rPr>
          <w:rFonts w:ascii="Times New Roman" w:hAnsi="Times New Roman" w:cs="Times New Roman"/>
          <w:b/>
          <w:color w:val="FF0000"/>
          <w:lang w:val="es-ES"/>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b/>
          <w:lang w:val="es-ES"/>
        </w:rPr>
        <w:t>Jurisdicciones incluidas en la lista de paraísos fiscales en el Servicio de Rentas Internas:</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lang w:val="es-ES"/>
        </w:rPr>
        <w:t xml:space="preserve">Del levantamiento de información de las 11 empresas incluidas en el proceso de investigación se determinó, que dos (2) registran domicilio en Delaware (USA); dos (2) en Dakota del Sur (USA); una (1) está registrada con domicilio en Islas Caimán; y, la mayoría que corresponde a seis (6) empresas registran domicilio en Panamá.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lang w:val="es-ES"/>
        </w:rPr>
        <w:t xml:space="preserve">Se indica, que en los medios de comunicación ante la noticia de los </w:t>
      </w:r>
      <w:r w:rsidR="0042641D" w:rsidRPr="0067008A">
        <w:rPr>
          <w:rFonts w:ascii="Times New Roman" w:hAnsi="Times New Roman" w:cs="Times New Roman"/>
          <w:lang w:val="es-ES"/>
        </w:rPr>
        <w:t xml:space="preserve">“PANDORA PAPERS”, </w:t>
      </w:r>
      <w:r w:rsidRPr="0067008A">
        <w:rPr>
          <w:rFonts w:ascii="Times New Roman" w:hAnsi="Times New Roman" w:cs="Times New Roman"/>
          <w:lang w:val="es-ES"/>
        </w:rPr>
        <w:t>se mencionan muchas más empresas o sociedades que se le atribuyen como propiedades en paraísos fiscales del Presidente de la República Guillermo Lasso Mendoza. Sin embargo, durante el proceso de investigación se tuvo el cuidado de incluir tan sólo a aquellas que tuvieran documentación de respaldo.</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lang w:val="es-ES"/>
        </w:rPr>
        <w:t>De las jurisdicciones en paraísos fiscales, solamente Dakota del Sur (USA) no se encuentra en el registro del Servicio de Rentas Internas SRI.</w:t>
      </w:r>
      <w:r w:rsidR="0042641D" w:rsidRPr="0067008A">
        <w:rPr>
          <w:rFonts w:ascii="Times New Roman" w:hAnsi="Times New Roman" w:cs="Times New Roman"/>
          <w:lang w:val="es-ES"/>
        </w:rPr>
        <w:t xml:space="preserve"> </w:t>
      </w:r>
      <w:r w:rsidRPr="0067008A">
        <w:rPr>
          <w:rFonts w:ascii="Times New Roman" w:hAnsi="Times New Roman" w:cs="Times New Roman"/>
          <w:lang w:val="es-ES"/>
        </w:rPr>
        <w:t>Respecto a las sociedades con domicilio en Panamá, se encontró que en el segmento “Comportamiento Tributario de los Integrantes de los Grupos Económicos del Ecuador 2018 -2019” que compila la información tributaria en la Consulta en detalle por Grupo Económico, están registradas como parte de las 66 empresas que con conforman el Grupo Económico Banco de Guayaquil, las sociedades BANISI HOLDING y BANISI, tal como se puede observar en el cuadro siguiente:</w:t>
      </w:r>
    </w:p>
    <w:p w:rsidR="006A4D59" w:rsidRPr="0067008A" w:rsidRDefault="006A4D59" w:rsidP="00677E33">
      <w:pPr>
        <w:spacing w:after="240" w:line="360" w:lineRule="auto"/>
        <w:jc w:val="both"/>
        <w:rPr>
          <w:rFonts w:ascii="Times New Roman" w:hAnsi="Times New Roman" w:cs="Times New Roman"/>
          <w:lang w:val="es-ES"/>
        </w:rPr>
      </w:pPr>
    </w:p>
    <w:p w:rsidR="006A4D59" w:rsidRPr="0067008A" w:rsidRDefault="001A2FF9" w:rsidP="0042641D">
      <w:pPr>
        <w:spacing w:after="240" w:line="360" w:lineRule="auto"/>
        <w:jc w:val="center"/>
        <w:rPr>
          <w:rFonts w:ascii="Times New Roman" w:hAnsi="Times New Roman" w:cs="Times New Roman"/>
        </w:rPr>
      </w:pPr>
      <w:r w:rsidRPr="00CC67C2">
        <w:rPr>
          <w:rFonts w:ascii="Times New Roman" w:hAnsi="Times New Roman" w:cs="Times New Roman"/>
          <w:noProof/>
        </w:rPr>
        <w:drawing>
          <wp:inline distT="0" distB="0" distL="0" distR="0">
            <wp:extent cx="5589270" cy="2072005"/>
            <wp:effectExtent l="0" t="0" r="0" b="0"/>
            <wp:docPr id="7"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9270" cy="2072005"/>
                    </a:xfrm>
                    <a:prstGeom prst="rect">
                      <a:avLst/>
                    </a:prstGeom>
                    <a:noFill/>
                    <a:ln>
                      <a:noFill/>
                    </a:ln>
                  </pic:spPr>
                </pic:pic>
              </a:graphicData>
            </a:graphic>
          </wp:inline>
        </w:drawing>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lang w:val="es-ES"/>
        </w:rPr>
        <w:t xml:space="preserve">El registro de BANISI HOLDING y BANISI en el sistema del SRI, como empresas domiciliadas en Panamá y que forman parte del Grupo Económico Banco de Guayaquil, con la anotación específica de ubicación en paraísos fiscales y que </w:t>
      </w:r>
      <w:r w:rsidR="0042641D" w:rsidRPr="0067008A">
        <w:rPr>
          <w:rFonts w:ascii="Times New Roman" w:hAnsi="Times New Roman" w:cs="Times New Roman"/>
          <w:lang w:val="es-ES"/>
        </w:rPr>
        <w:t>n</w:t>
      </w:r>
      <w:r w:rsidRPr="0067008A">
        <w:rPr>
          <w:rFonts w:ascii="Times New Roman" w:hAnsi="Times New Roman" w:cs="Times New Roman"/>
          <w:lang w:val="es-ES"/>
        </w:rPr>
        <w:t xml:space="preserve">o </w:t>
      </w:r>
      <w:r w:rsidR="0042641D" w:rsidRPr="0067008A">
        <w:rPr>
          <w:rFonts w:ascii="Times New Roman" w:hAnsi="Times New Roman" w:cs="Times New Roman"/>
          <w:lang w:val="es-ES"/>
        </w:rPr>
        <w:t>a</w:t>
      </w:r>
      <w:r w:rsidRPr="0067008A">
        <w:rPr>
          <w:rFonts w:ascii="Times New Roman" w:hAnsi="Times New Roman" w:cs="Times New Roman"/>
          <w:lang w:val="es-ES"/>
        </w:rPr>
        <w:t xml:space="preserve">plica para </w:t>
      </w:r>
      <w:r w:rsidR="0042641D" w:rsidRPr="0067008A">
        <w:rPr>
          <w:rFonts w:ascii="Times New Roman" w:hAnsi="Times New Roman" w:cs="Times New Roman"/>
          <w:lang w:val="es-ES"/>
        </w:rPr>
        <w:t>la imposición de tributos</w:t>
      </w:r>
      <w:r w:rsidRPr="0067008A">
        <w:rPr>
          <w:rFonts w:ascii="Times New Roman" w:hAnsi="Times New Roman" w:cs="Times New Roman"/>
          <w:lang w:val="es-ES"/>
        </w:rPr>
        <w:t xml:space="preserve"> en Ecuador, implica el reconocimiento oficial del Estado ecuatoriano </w:t>
      </w:r>
      <w:r w:rsidR="0042641D" w:rsidRPr="0067008A">
        <w:rPr>
          <w:rFonts w:ascii="Times New Roman" w:hAnsi="Times New Roman" w:cs="Times New Roman"/>
          <w:lang w:val="es-ES"/>
        </w:rPr>
        <w:t xml:space="preserve">que el </w:t>
      </w:r>
      <w:r w:rsidRPr="0067008A">
        <w:rPr>
          <w:rFonts w:ascii="Times New Roman" w:hAnsi="Times New Roman" w:cs="Times New Roman"/>
          <w:lang w:val="es-ES"/>
        </w:rPr>
        <w:t>señor Guillermo Lasso</w:t>
      </w:r>
      <w:r w:rsidR="0042641D" w:rsidRPr="0067008A">
        <w:rPr>
          <w:rFonts w:ascii="Times New Roman" w:hAnsi="Times New Roman" w:cs="Times New Roman"/>
          <w:lang w:val="es-ES"/>
        </w:rPr>
        <w:t xml:space="preserve"> es</w:t>
      </w:r>
      <w:r w:rsidRPr="0067008A">
        <w:rPr>
          <w:rFonts w:ascii="Times New Roman" w:hAnsi="Times New Roman" w:cs="Times New Roman"/>
          <w:lang w:val="es-ES"/>
        </w:rPr>
        <w:t xml:space="preserve"> accionista mayoritario del Grupo Banco de Guayaquil. </w:t>
      </w:r>
    </w:p>
    <w:p w:rsidR="006A4D59" w:rsidRPr="0067008A" w:rsidRDefault="006A4D59" w:rsidP="00677E33">
      <w:pPr>
        <w:spacing w:after="240" w:line="360" w:lineRule="auto"/>
        <w:jc w:val="both"/>
        <w:rPr>
          <w:rFonts w:ascii="Times New Roman" w:hAnsi="Times New Roman" w:cs="Times New Roman"/>
          <w:lang w:val="es-ES"/>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lang w:val="es-ES"/>
        </w:rPr>
        <w:t>Constan además dentro de este Grupo Económico, cuya denominación completa es El Grupo Económico Banco de Guayaquil (Corporación MultiBG, Fideicomiso Mercantil de Administración GLM, Promoquil, Fideicomiso Mercantil de Administración MELM), las empresas SOUTH PACIFIC INVESTORS LTD,</w:t>
      </w:r>
      <w:r w:rsidR="00677E33" w:rsidRPr="0067008A">
        <w:rPr>
          <w:rFonts w:ascii="Times New Roman" w:hAnsi="Times New Roman" w:cs="Times New Roman"/>
          <w:lang w:val="es-ES"/>
        </w:rPr>
        <w:t xml:space="preserve"> </w:t>
      </w:r>
      <w:r w:rsidRPr="0067008A">
        <w:rPr>
          <w:rFonts w:ascii="Times New Roman" w:hAnsi="Times New Roman" w:cs="Times New Roman"/>
          <w:lang w:val="es-ES"/>
        </w:rPr>
        <w:t xml:space="preserve">GRUPO CORPORATIVO YOU YOUCORP S.A. y el FIDEICOMISO MERCANTIL DE ADMINISTRACION GLM, mencionadas en las publicaciones de </w:t>
      </w:r>
      <w:r w:rsidR="0042641D" w:rsidRPr="0067008A">
        <w:rPr>
          <w:rFonts w:ascii="Times New Roman" w:hAnsi="Times New Roman" w:cs="Times New Roman"/>
          <w:lang w:val="es-ES"/>
        </w:rPr>
        <w:t>“PANDORA PAPERS”</w:t>
      </w:r>
      <w:r w:rsidRPr="0067008A">
        <w:rPr>
          <w:rFonts w:ascii="Times New Roman" w:hAnsi="Times New Roman" w:cs="Times New Roman"/>
          <w:lang w:val="es-ES"/>
        </w:rPr>
        <w:t xml:space="preserve">, en condición de </w:t>
      </w:r>
      <w:r w:rsidR="0042641D" w:rsidRPr="0067008A">
        <w:rPr>
          <w:rFonts w:ascii="Times New Roman" w:hAnsi="Times New Roman" w:cs="Times New Roman"/>
          <w:lang w:val="es-ES"/>
        </w:rPr>
        <w:t>a</w:t>
      </w:r>
      <w:r w:rsidRPr="0067008A">
        <w:rPr>
          <w:rFonts w:ascii="Times New Roman" w:hAnsi="Times New Roman" w:cs="Times New Roman"/>
          <w:lang w:val="es-ES"/>
        </w:rPr>
        <w:t>ctivas con registro en Ecuador.</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b/>
          <w:lang w:val="es-ES"/>
        </w:rPr>
        <w:t>Conclusión:</w:t>
      </w:r>
      <w:r w:rsidRPr="0067008A">
        <w:rPr>
          <w:rFonts w:ascii="Times New Roman" w:hAnsi="Times New Roman" w:cs="Times New Roman"/>
          <w:lang w:val="es-ES"/>
        </w:rPr>
        <w:t xml:space="preserve"> El registro de BANISI HOLDING y BANISI en el sistema del SRI, como empresas en paraísos fiscales domiciliadas en Panamá y que forman parte del Grupo Económico Banco de Guayaquil, </w:t>
      </w:r>
      <w:r w:rsidRPr="0067008A">
        <w:rPr>
          <w:rFonts w:ascii="Times New Roman" w:hAnsi="Times New Roman" w:cs="Times New Roman"/>
          <w:b/>
          <w:lang w:val="es-ES"/>
        </w:rPr>
        <w:t xml:space="preserve">implica el reconocimiento oficial </w:t>
      </w:r>
      <w:r w:rsidRPr="0067008A">
        <w:rPr>
          <w:rFonts w:ascii="Times New Roman" w:hAnsi="Times New Roman" w:cs="Times New Roman"/>
          <w:lang w:val="es-ES"/>
        </w:rPr>
        <w:t xml:space="preserve"> del Estado ecuatoriano de pertenencia al señor Guillermo Lasso, toda vez su condición de accionista mayoritario de esta Corporación.</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b/>
          <w:lang w:val="es-ES"/>
        </w:rPr>
        <w:t>Análisis. Prohibición</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b/>
          <w:lang w:val="es-ES"/>
        </w:rPr>
        <w:t>Propietarios directos o indirectos de bienes o capitales, de cualquier naturaleza, en jurisdicciones o regímenes considerados como paraísos fiscales.</w:t>
      </w:r>
      <w:r w:rsidRPr="0067008A">
        <w:rPr>
          <w:rFonts w:ascii="Times New Roman" w:hAnsi="Times New Roman" w:cs="Times New Roman"/>
          <w:lang w:val="es-ES"/>
        </w:rPr>
        <w:tab/>
      </w:r>
    </w:p>
    <w:p w:rsidR="0042641D" w:rsidRPr="0067008A" w:rsidRDefault="00921711" w:rsidP="00677E33">
      <w:pPr>
        <w:spacing w:after="240" w:line="360" w:lineRule="auto"/>
        <w:jc w:val="both"/>
        <w:rPr>
          <w:rFonts w:ascii="Times New Roman" w:hAnsi="Times New Roman" w:cs="Times New Roman"/>
          <w:lang w:val="es-ES"/>
        </w:rPr>
      </w:pPr>
      <w:r w:rsidRPr="0067008A">
        <w:rPr>
          <w:rFonts w:ascii="Times New Roman" w:hAnsi="Times New Roman" w:cs="Times New Roman"/>
          <w:b/>
          <w:lang w:val="es-ES"/>
        </w:rPr>
        <w:t>Condición de directivos en sociedades establecidas, constituidas o domiciliadas en jurisdicciones o regímenes considerados como paraísos fiscales.</w:t>
      </w:r>
      <w:r w:rsidRPr="0067008A">
        <w:rPr>
          <w:rFonts w:ascii="Times New Roman" w:hAnsi="Times New Roman" w:cs="Times New Roman"/>
          <w:lang w:val="es-ES"/>
        </w:rPr>
        <w:tab/>
      </w:r>
      <w:r w:rsidRPr="0067008A">
        <w:rPr>
          <w:rFonts w:ascii="Times New Roman" w:hAnsi="Times New Roman" w:cs="Times New Roman"/>
          <w:lang w:val="es-ES"/>
        </w:rPr>
        <w:tab/>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lang w:val="es-EC"/>
        </w:rPr>
        <w:t>Siguiendo con la metodología planteada para la investigación, nos referimos a lo mencionado por el Dr. Lorenzo Calvas Preciado</w:t>
      </w:r>
      <w:r w:rsidRPr="0067008A">
        <w:rPr>
          <w:rFonts w:ascii="Times New Roman" w:hAnsi="Times New Roman" w:cs="Times New Roman"/>
          <w:lang w:val="es-ES"/>
        </w:rPr>
        <w:t xml:space="preserve">, </w:t>
      </w:r>
      <w:r w:rsidRPr="0067008A">
        <w:rPr>
          <w:rFonts w:ascii="Times New Roman" w:hAnsi="Times New Roman" w:cs="Times New Roman"/>
          <w:lang w:val="es-EC"/>
        </w:rPr>
        <w:t xml:space="preserve">Procurador Común de la Alianza CREO 21 – PSC 6, ante el Tribunal Contencioso Electoral en el Proceso Nº 090-2020.TCE que trató el Recurso Subjetivo Contencioso Electoral interpuesto en objeción al candidato Guillermo Lasso para las elecciones Presidenciales 2021.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lang w:val="es-EC"/>
        </w:rPr>
        <w:t xml:space="preserve">Acerca de las empresas </w:t>
      </w:r>
      <w:r w:rsidRPr="0067008A">
        <w:rPr>
          <w:rFonts w:ascii="Times New Roman" w:hAnsi="Times New Roman" w:cs="Times New Roman"/>
          <w:lang w:val="es-ES"/>
        </w:rPr>
        <w:t xml:space="preserve">BANISI HOLDING y BANISI, el </w:t>
      </w:r>
      <w:r w:rsidRPr="0067008A">
        <w:rPr>
          <w:rFonts w:ascii="Times New Roman" w:hAnsi="Times New Roman" w:cs="Times New Roman"/>
          <w:lang w:val="es-EC"/>
        </w:rPr>
        <w:t>Procurador Común de la Alianza CREO 21 – PSC 6, menciona en su declaración en el proceso:</w:t>
      </w:r>
    </w:p>
    <w:p w:rsidR="006A4D59" w:rsidRPr="0067008A" w:rsidRDefault="00921711" w:rsidP="0042641D">
      <w:pPr>
        <w:spacing w:after="240" w:line="360" w:lineRule="auto"/>
        <w:ind w:left="720"/>
        <w:jc w:val="both"/>
        <w:rPr>
          <w:rFonts w:ascii="Times New Roman" w:hAnsi="Times New Roman" w:cs="Times New Roman"/>
        </w:rPr>
      </w:pPr>
      <w:r w:rsidRPr="0067008A">
        <w:rPr>
          <w:rFonts w:ascii="Times New Roman" w:hAnsi="Times New Roman" w:cs="Times New Roman"/>
          <w:lang w:val="es-ES"/>
        </w:rPr>
        <w:t>“</w:t>
      </w:r>
      <w:r w:rsidRPr="0067008A">
        <w:rPr>
          <w:rFonts w:ascii="Times New Roman" w:hAnsi="Times New Roman" w:cs="Times New Roman"/>
          <w:i/>
          <w:lang w:val="es-ES"/>
        </w:rPr>
        <w:t xml:space="preserve">Guillermo Lasso Mendoza </w:t>
      </w:r>
      <w:r w:rsidRPr="0067008A">
        <w:rPr>
          <w:rFonts w:ascii="Times New Roman" w:hAnsi="Times New Roman" w:cs="Times New Roman"/>
          <w:i/>
          <w:u w:val="single"/>
          <w:lang w:val="es-ES"/>
        </w:rPr>
        <w:t>no tiene relación alguna</w:t>
      </w:r>
      <w:r w:rsidRPr="0067008A">
        <w:rPr>
          <w:rFonts w:ascii="Times New Roman" w:hAnsi="Times New Roman" w:cs="Times New Roman"/>
          <w:i/>
          <w:lang w:val="es-ES"/>
        </w:rPr>
        <w:t xml:space="preserve"> con </w:t>
      </w:r>
      <w:r w:rsidRPr="0067008A">
        <w:rPr>
          <w:rFonts w:ascii="Times New Roman" w:hAnsi="Times New Roman" w:cs="Times New Roman"/>
          <w:b/>
          <w:i/>
          <w:lang w:val="es-ES"/>
        </w:rPr>
        <w:t>Banisi Holding</w:t>
      </w:r>
      <w:r w:rsidRPr="0067008A">
        <w:rPr>
          <w:rFonts w:ascii="Times New Roman" w:hAnsi="Times New Roman" w:cs="Times New Roman"/>
          <w:i/>
          <w:lang w:val="es-ES"/>
        </w:rPr>
        <w:t>…</w:t>
      </w:r>
    </w:p>
    <w:p w:rsidR="006A4D59" w:rsidRPr="0067008A" w:rsidRDefault="00921711" w:rsidP="0042641D">
      <w:pPr>
        <w:spacing w:after="240" w:line="360" w:lineRule="auto"/>
        <w:ind w:left="720"/>
        <w:jc w:val="both"/>
        <w:rPr>
          <w:rFonts w:ascii="Times New Roman" w:hAnsi="Times New Roman" w:cs="Times New Roman"/>
        </w:rPr>
      </w:pPr>
      <w:r w:rsidRPr="0067008A">
        <w:rPr>
          <w:rFonts w:ascii="Times New Roman" w:hAnsi="Times New Roman" w:cs="Times New Roman"/>
          <w:i/>
          <w:lang w:val="es-ES"/>
        </w:rPr>
        <w:t xml:space="preserve">“El caso es que </w:t>
      </w:r>
      <w:r w:rsidRPr="0067008A">
        <w:rPr>
          <w:rFonts w:ascii="Times New Roman" w:hAnsi="Times New Roman" w:cs="Times New Roman"/>
          <w:b/>
          <w:i/>
          <w:lang w:val="es-ES"/>
        </w:rPr>
        <w:t>Pietro</w:t>
      </w:r>
      <w:r w:rsidRPr="0067008A">
        <w:rPr>
          <w:rFonts w:ascii="Times New Roman" w:hAnsi="Times New Roman" w:cs="Times New Roman"/>
          <w:i/>
          <w:lang w:val="es-ES"/>
        </w:rPr>
        <w:t xml:space="preserve"> se encuentra disuelta y por ende </w:t>
      </w:r>
      <w:r w:rsidRPr="0067008A">
        <w:rPr>
          <w:rFonts w:ascii="Times New Roman" w:hAnsi="Times New Roman" w:cs="Times New Roman"/>
          <w:i/>
          <w:u w:val="single"/>
          <w:lang w:val="es-ES"/>
        </w:rPr>
        <w:t>no tiene actual existencia jurídica,</w:t>
      </w:r>
      <w:r w:rsidRPr="0067008A">
        <w:rPr>
          <w:rFonts w:ascii="Times New Roman" w:hAnsi="Times New Roman" w:cs="Times New Roman"/>
          <w:i/>
          <w:lang w:val="es-ES"/>
        </w:rPr>
        <w:t xml:space="preserve"> tal y como se demuestra mediante el adjunto certificado</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emitido por autoridad competente”.</w:t>
      </w:r>
    </w:p>
    <w:p w:rsidR="006A4D59" w:rsidRPr="0067008A" w:rsidRDefault="00921711" w:rsidP="0042641D">
      <w:pPr>
        <w:spacing w:after="240" w:line="360" w:lineRule="auto"/>
        <w:ind w:left="720"/>
        <w:rPr>
          <w:rFonts w:ascii="Times New Roman" w:hAnsi="Times New Roman" w:cs="Times New Roman"/>
        </w:rPr>
      </w:pPr>
      <w:r w:rsidRPr="0067008A">
        <w:rPr>
          <w:rFonts w:ascii="Times New Roman" w:hAnsi="Times New Roman" w:cs="Times New Roman"/>
          <w:i/>
          <w:lang w:val="es-ES"/>
        </w:rPr>
        <w:t xml:space="preserve">“El objetante pretende vincular a nuestro candidato con la entidad </w:t>
      </w:r>
      <w:r w:rsidRPr="0067008A">
        <w:rPr>
          <w:rFonts w:ascii="Times New Roman" w:hAnsi="Times New Roman" w:cs="Times New Roman"/>
          <w:b/>
          <w:i/>
          <w:lang w:val="es-ES"/>
        </w:rPr>
        <w:t>Banisi</w:t>
      </w:r>
      <w:r w:rsidRPr="0067008A">
        <w:rPr>
          <w:rFonts w:ascii="Times New Roman" w:hAnsi="Times New Roman" w:cs="Times New Roman"/>
          <w:i/>
          <w:lang w:val="es-ES"/>
        </w:rPr>
        <w:t xml:space="preserve">… </w:t>
      </w:r>
      <w:r w:rsidRPr="0067008A">
        <w:rPr>
          <w:rFonts w:ascii="Times New Roman" w:hAnsi="Times New Roman" w:cs="Times New Roman"/>
          <w:i/>
          <w:u w:val="single"/>
          <w:lang w:val="es-ES"/>
        </w:rPr>
        <w:t>sobre Pietro</w:t>
      </w:r>
      <w:r w:rsidR="00677E33" w:rsidRPr="0067008A">
        <w:rPr>
          <w:rFonts w:ascii="Times New Roman" w:hAnsi="Times New Roman" w:cs="Times New Roman"/>
          <w:i/>
          <w:u w:val="single"/>
          <w:lang w:val="es-ES"/>
        </w:rPr>
        <w:t xml:space="preserve"> </w:t>
      </w:r>
      <w:r w:rsidRPr="0067008A">
        <w:rPr>
          <w:rFonts w:ascii="Times New Roman" w:hAnsi="Times New Roman" w:cs="Times New Roman"/>
          <w:i/>
          <w:lang w:val="es-ES"/>
        </w:rPr>
        <w:t>y Banisi</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Holding</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que,</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como</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vimos, (la información)</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no procede de fuente</w:t>
      </w:r>
      <w:r w:rsidR="00677E33" w:rsidRPr="0067008A">
        <w:rPr>
          <w:rFonts w:ascii="Times New Roman" w:hAnsi="Times New Roman" w:cs="Times New Roman"/>
          <w:i/>
          <w:lang w:val="es-ES"/>
        </w:rPr>
        <w:t xml:space="preserve"> </w:t>
      </w:r>
      <w:r w:rsidRPr="0067008A">
        <w:rPr>
          <w:rFonts w:ascii="Times New Roman" w:hAnsi="Times New Roman" w:cs="Times New Roman"/>
          <w:i/>
          <w:lang w:val="es-ES"/>
        </w:rPr>
        <w:t>oficial</w:t>
      </w:r>
      <w:r w:rsidRPr="0067008A">
        <w:rPr>
          <w:rFonts w:ascii="Times New Roman" w:hAnsi="Times New Roman" w:cs="Times New Roman"/>
          <w:lang w:val="es-EC"/>
        </w:rPr>
        <w:t>”</w:t>
      </w:r>
      <w:r w:rsidR="00677E33" w:rsidRPr="0067008A">
        <w:rPr>
          <w:rFonts w:ascii="Times New Roman" w:hAnsi="Times New Roman" w:cs="Times New Roman"/>
          <w:lang w:val="es-EC"/>
        </w:rPr>
        <w:t xml:space="preserve">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lang w:val="es-EC"/>
        </w:rPr>
        <w:t>Sin embargo, l</w:t>
      </w:r>
      <w:r w:rsidRPr="0067008A">
        <w:rPr>
          <w:rFonts w:ascii="Times New Roman" w:hAnsi="Times New Roman" w:cs="Times New Roman"/>
          <w:lang w:val="es-ES"/>
        </w:rPr>
        <w:t xml:space="preserve">o aseverado por el Dr. Calvas contradice la información que registra el sistema del SRI, si se parte del hecho de que </w:t>
      </w:r>
      <w:r w:rsidRPr="0067008A">
        <w:rPr>
          <w:rFonts w:ascii="Times New Roman" w:hAnsi="Times New Roman" w:cs="Times New Roman"/>
          <w:lang w:val="es-EC"/>
        </w:rPr>
        <w:t xml:space="preserve">Banisi Holding y Banisi forman parte del Grupo Banco de Guayaquil y por lo tanto existe una relación, </w:t>
      </w:r>
      <w:r w:rsidRPr="0067008A">
        <w:rPr>
          <w:rFonts w:ascii="Times New Roman" w:hAnsi="Times New Roman" w:cs="Times New Roman"/>
          <w:b/>
          <w:u w:val="single"/>
          <w:lang w:val="es-EC"/>
        </w:rPr>
        <w:t>un vínculo incluso de estructura empresarial</w:t>
      </w:r>
      <w:r w:rsidRPr="0067008A">
        <w:rPr>
          <w:rFonts w:ascii="Times New Roman" w:hAnsi="Times New Roman" w:cs="Times New Roman"/>
          <w:lang w:val="es-EC"/>
        </w:rPr>
        <w:t>, con el accionista mayoritario Guillermo Lasso</w:t>
      </w:r>
      <w:r w:rsidR="0042641D" w:rsidRPr="0067008A">
        <w:rPr>
          <w:rFonts w:ascii="Times New Roman" w:hAnsi="Times New Roman" w:cs="Times New Roman"/>
          <w:lang w:val="es-EC"/>
        </w:rPr>
        <w:t xml:space="preserve">, Presidente de la República del Ecuador. </w:t>
      </w:r>
    </w:p>
    <w:p w:rsidR="006A4D59" w:rsidRPr="0067008A" w:rsidRDefault="006A4D59" w:rsidP="00677E33">
      <w:pPr>
        <w:spacing w:after="240" w:line="360" w:lineRule="auto"/>
        <w:jc w:val="both"/>
        <w:rPr>
          <w:rFonts w:ascii="Times New Roman" w:hAnsi="Times New Roman" w:cs="Times New Roman"/>
          <w:b/>
          <w:lang w:val="es-EC"/>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b/>
          <w:lang w:val="es-EC"/>
        </w:rPr>
        <w:t>Articulación Empresarial.</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lang w:val="es-EC"/>
        </w:rPr>
        <w:t>Lo cierto es que Banisi y Banisi Holding son entidades bancarias activas en Panamá, constituidas como Sociedades Anónimas con Gobiernos Corporativos, que funcionan con Directivos y Dignatarios, que según el Informe de Actualización Anual/2018, expedido en Formulario IN-A de la Comisión Nacional de Valores de la República de Panamá, no laboran presencialmente dentro del Emisor:</w:t>
      </w:r>
    </w:p>
    <w:p w:rsidR="006A4D59" w:rsidRPr="0067008A" w:rsidRDefault="006411F2" w:rsidP="006411F2">
      <w:pPr>
        <w:spacing w:after="240" w:line="360" w:lineRule="auto"/>
        <w:ind w:left="720"/>
        <w:jc w:val="both"/>
        <w:rPr>
          <w:rFonts w:ascii="Times New Roman" w:hAnsi="Times New Roman" w:cs="Times New Roman"/>
        </w:rPr>
      </w:pPr>
      <w:r w:rsidRPr="0067008A">
        <w:rPr>
          <w:rFonts w:ascii="Times New Roman" w:hAnsi="Times New Roman" w:cs="Times New Roman"/>
          <w:i/>
          <w:lang w:val="es-ES"/>
        </w:rPr>
        <w:t>“</w:t>
      </w:r>
      <w:r w:rsidR="00921711" w:rsidRPr="0067008A">
        <w:rPr>
          <w:rFonts w:ascii="Times New Roman" w:hAnsi="Times New Roman" w:cs="Times New Roman"/>
          <w:i/>
          <w:lang w:val="es-ES"/>
        </w:rPr>
        <w:t>Los Directores y Dignatarios del Emisor no laboran ni ejercen funciones administrativas u operativas dentro del Emisor, con excepción de los señores Juan Emilio Lasso Alcívar, Arturo Alonso Serrano Salgado y Luis Rodolfo Müller Ruiz quienes ejercen funciones administrativas u operativas dentro del Emisor tal y como se indica a continuación.</w:t>
      </w:r>
      <w:r w:rsidRPr="0067008A">
        <w:rPr>
          <w:rFonts w:ascii="Times New Roman" w:hAnsi="Times New Roman" w:cs="Times New Roman"/>
          <w:i/>
          <w:lang w:val="es-ES"/>
        </w:rPr>
        <w:t>”</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lang w:val="es-EC"/>
        </w:rPr>
        <w:t>No obstante, la articulación empresarial y económica con el Grupo Económico Banco de Guayaquil se expresa objetivamente en su sistema de funcionamiento y hasta en el diseño de su publicidad. A través de la página web de BANISI</w:t>
      </w:r>
      <w:r w:rsidRPr="0067008A">
        <w:rPr>
          <w:rStyle w:val="Ancladenotaalpie"/>
          <w:rFonts w:ascii="Times New Roman" w:hAnsi="Times New Roman" w:cs="Times New Roman"/>
          <w:lang w:val="es-EC"/>
        </w:rPr>
        <w:footnoteReference w:id="4"/>
      </w:r>
      <w:r w:rsidRPr="0067008A">
        <w:rPr>
          <w:rFonts w:ascii="Times New Roman" w:hAnsi="Times New Roman" w:cs="Times New Roman"/>
          <w:lang w:val="es-EC"/>
        </w:rPr>
        <w:t>, con un diseño de publicidad similar al del Banco de Guayaquil, se ofrece a los clientes operaciones bancarias locales e internacionales “con posibilidad de acceso desde Ecuador”,</w:t>
      </w:r>
      <w:r w:rsidR="00677E33" w:rsidRPr="0067008A">
        <w:rPr>
          <w:rFonts w:ascii="Times New Roman" w:hAnsi="Times New Roman" w:cs="Times New Roman"/>
          <w:lang w:val="es-EC"/>
        </w:rPr>
        <w:t xml:space="preserve"> </w:t>
      </w:r>
      <w:r w:rsidRPr="0067008A">
        <w:rPr>
          <w:rFonts w:ascii="Times New Roman" w:hAnsi="Times New Roman" w:cs="Times New Roman"/>
          <w:lang w:val="es-EC"/>
        </w:rPr>
        <w:t xml:space="preserve">en la literatura de su publicidad dice específicamente que es filial del Banco de Guayaquil y hasta consta un mensaje del Presidente Guillermo Lasso en el Informe de Accionistas de BANISI, S.A. </w:t>
      </w:r>
    </w:p>
    <w:p w:rsidR="006A4D59" w:rsidRPr="0067008A" w:rsidRDefault="00921711" w:rsidP="00677E33">
      <w:pPr>
        <w:spacing w:after="240" w:line="360" w:lineRule="auto"/>
        <w:jc w:val="center"/>
        <w:rPr>
          <w:rFonts w:ascii="Times New Roman" w:hAnsi="Times New Roman" w:cs="Times New Roman"/>
        </w:rPr>
      </w:pPr>
      <w:r w:rsidRPr="0067008A">
        <w:rPr>
          <w:rFonts w:ascii="Times New Roman" w:hAnsi="Times New Roman" w:cs="Times New Roman"/>
          <w:b/>
          <w:lang w:val="es-EC"/>
        </w:rPr>
        <w:t>INFORME DE ACCIONISTAS DEL BANCO BANISI/2020</w:t>
      </w:r>
    </w:p>
    <w:tbl>
      <w:tblPr>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9"/>
        <w:gridCol w:w="4277"/>
      </w:tblGrid>
      <w:tr w:rsidR="006A4D59" w:rsidRPr="0067008A" w:rsidTr="00CC67C2">
        <w:tc>
          <w:tcPr>
            <w:tcW w:w="4461" w:type="dxa"/>
            <w:shd w:val="clear" w:color="auto" w:fill="auto"/>
          </w:tcPr>
          <w:p w:rsidR="006A4D59" w:rsidRPr="00CC67C2" w:rsidRDefault="001A2FF9" w:rsidP="00CC67C2">
            <w:pPr>
              <w:spacing w:after="240" w:line="360" w:lineRule="auto"/>
              <w:jc w:val="center"/>
              <w:rPr>
                <w:rFonts w:ascii="Times New Roman" w:eastAsia="Cambria" w:hAnsi="Times New Roman" w:cs="Times New Roman"/>
                <w:lang w:val="en-US" w:eastAsia="es-ES"/>
              </w:rPr>
            </w:pPr>
            <w:r w:rsidRPr="00CC67C2">
              <w:rPr>
                <w:rFonts w:ascii="Times New Roman" w:eastAsia="Cambria" w:hAnsi="Times New Roman" w:cs="Times New Roman"/>
                <w:noProof/>
                <w:sz w:val="24"/>
                <w:szCs w:val="24"/>
                <w:lang w:val="en-US" w:eastAsia="es-ES"/>
              </w:rPr>
              <w:drawing>
                <wp:inline distT="0" distB="0" distL="0" distR="0">
                  <wp:extent cx="3169285" cy="2211705"/>
                  <wp:effectExtent l="0" t="0" r="0" b="0"/>
                  <wp:docPr id="8"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9285" cy="2211705"/>
                          </a:xfrm>
                          <a:prstGeom prst="rect">
                            <a:avLst/>
                          </a:prstGeom>
                          <a:noFill/>
                          <a:ln>
                            <a:noFill/>
                          </a:ln>
                        </pic:spPr>
                      </pic:pic>
                    </a:graphicData>
                  </a:graphic>
                </wp:inline>
              </w:drawing>
            </w:r>
          </w:p>
        </w:tc>
        <w:tc>
          <w:tcPr>
            <w:tcW w:w="4032" w:type="dxa"/>
            <w:shd w:val="clear" w:color="auto" w:fill="auto"/>
          </w:tcPr>
          <w:p w:rsidR="006A4D59" w:rsidRPr="00CC67C2" w:rsidRDefault="001A2FF9" w:rsidP="00CC67C2">
            <w:pPr>
              <w:spacing w:after="240" w:line="360" w:lineRule="auto"/>
              <w:jc w:val="center"/>
              <w:rPr>
                <w:rFonts w:ascii="Times New Roman" w:eastAsia="Cambria" w:hAnsi="Times New Roman" w:cs="Times New Roman"/>
                <w:lang w:val="en-US" w:eastAsia="es-ES"/>
              </w:rPr>
            </w:pPr>
            <w:r w:rsidRPr="00CC67C2">
              <w:rPr>
                <w:rFonts w:ascii="Times New Roman" w:eastAsia="Cambria" w:hAnsi="Times New Roman" w:cs="Times New Roman"/>
                <w:noProof/>
                <w:sz w:val="24"/>
                <w:szCs w:val="24"/>
                <w:lang w:val="en-US" w:eastAsia="es-ES"/>
              </w:rPr>
              <w:drawing>
                <wp:inline distT="0" distB="0" distL="0" distR="0">
                  <wp:extent cx="2846070" cy="2188845"/>
                  <wp:effectExtent l="0" t="0" r="0" b="0"/>
                  <wp:docPr id="9"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6070" cy="2188845"/>
                          </a:xfrm>
                          <a:prstGeom prst="rect">
                            <a:avLst/>
                          </a:prstGeom>
                          <a:noFill/>
                          <a:ln>
                            <a:noFill/>
                          </a:ln>
                        </pic:spPr>
                      </pic:pic>
                    </a:graphicData>
                  </a:graphic>
                </wp:inline>
              </w:drawing>
            </w:r>
          </w:p>
        </w:tc>
      </w:tr>
    </w:tbl>
    <w:p w:rsidR="006A4D59" w:rsidRPr="0067008A" w:rsidRDefault="00921711" w:rsidP="00677E33">
      <w:pPr>
        <w:spacing w:after="240" w:line="360" w:lineRule="auto"/>
        <w:jc w:val="center"/>
        <w:rPr>
          <w:rFonts w:ascii="Times New Roman" w:hAnsi="Times New Roman" w:cs="Times New Roman"/>
        </w:rPr>
      </w:pPr>
      <w:r w:rsidRPr="0067008A">
        <w:rPr>
          <w:rFonts w:ascii="Times New Roman" w:hAnsi="Times New Roman" w:cs="Times New Roman"/>
          <w:b/>
          <w:lang w:val="es-EC"/>
        </w:rPr>
        <w:t xml:space="preserve">Fuente: </w:t>
      </w:r>
      <w:hyperlink r:id="rId25">
        <w:r w:rsidRPr="00CC67C2">
          <w:rPr>
            <w:rStyle w:val="ListLabel55"/>
            <w:rFonts w:ascii="Times New Roman" w:hAnsi="Times New Roman" w:cs="Times New Roman"/>
            <w:b/>
            <w:color w:val="0000FF"/>
            <w:u w:val="single"/>
            <w:lang w:val="es-ES"/>
          </w:rPr>
          <w:t>https://www.banisipma.com/wp-content/uploads/2021/03/Informe-Banisi-S-A-Febrero-2021-.pdf</w:t>
        </w:r>
      </w:hyperlink>
    </w:p>
    <w:p w:rsidR="006A4D59" w:rsidRPr="0067008A" w:rsidRDefault="006A4D59" w:rsidP="00677E33">
      <w:pPr>
        <w:spacing w:after="240" w:line="360" w:lineRule="auto"/>
        <w:jc w:val="both"/>
        <w:rPr>
          <w:rFonts w:ascii="Times New Roman" w:hAnsi="Times New Roman" w:cs="Times New Roman"/>
          <w:b/>
          <w:lang w:val="es-ES"/>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b/>
          <w:lang w:val="es-ES"/>
        </w:rPr>
        <w:t xml:space="preserve">Conclusión: </w:t>
      </w:r>
      <w:r w:rsidRPr="0067008A">
        <w:rPr>
          <w:rFonts w:ascii="Times New Roman" w:hAnsi="Times New Roman" w:cs="Times New Roman"/>
          <w:lang w:val="es-ES"/>
        </w:rPr>
        <w:t>De la información analizada se identifica la existencia de una articulación empresarial en el funcionamiento y operatividad entre BANISI HOLDING y BANISI, y el Banco de Guayaquil a partir incluso de los canales de servicios bancarios conjuntos para la atención al cliente. No se puede determinar la participación directiva directa de Guillermo Lasso Mendoza en estas empresas con domicilio en paraísos fiscales, debido a que funcionan con Gobiernos Corporativos anónimos. Sin embargo, se observa un determinado nivel de participación a través de su mensaje en el Informe a los Accionistas Banisi/2020.</w:t>
      </w:r>
      <w:r w:rsidR="00677E33" w:rsidRPr="0067008A">
        <w:rPr>
          <w:rFonts w:ascii="Times New Roman" w:hAnsi="Times New Roman" w:cs="Times New Roman"/>
          <w:lang w:val="es-ES"/>
        </w:rPr>
        <w:t xml:space="preserve">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b/>
          <w:lang w:val="es-EC"/>
        </w:rPr>
        <w:t>Articulación Económica.</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lang w:val="es-EC"/>
        </w:rPr>
        <w:t>En relación a la articulación económica de Banisi y Banisi Holding con el Grupo Banco de Guayaquil, en el proceso de investigación se encontró la siguiente información relevante que se detalla en secuencia cronológica:</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lang w:val="es-EC"/>
        </w:rPr>
        <w:t>Que mediante Resolución SBP Nº 0041-2014 de fecha 14 de abril de 2014, se efectuó el traspaso del 100% de las acciones de BANISI S.A., propiedad del Banco de Guayaquil, a la sociedad BANISI HOLDING S.A. Al respecto se señala:</w:t>
      </w:r>
    </w:p>
    <w:p w:rsidR="006A4D59" w:rsidRPr="0067008A" w:rsidRDefault="00921711" w:rsidP="00677E33">
      <w:pPr>
        <w:numPr>
          <w:ilvl w:val="0"/>
          <w:numId w:val="26"/>
        </w:numPr>
        <w:spacing w:after="240" w:line="360" w:lineRule="auto"/>
        <w:jc w:val="both"/>
        <w:rPr>
          <w:rFonts w:ascii="Times New Roman" w:hAnsi="Times New Roman" w:cs="Times New Roman"/>
        </w:rPr>
      </w:pPr>
      <w:r w:rsidRPr="0067008A">
        <w:rPr>
          <w:rFonts w:ascii="Times New Roman" w:hAnsi="Times New Roman" w:cs="Times New Roman"/>
          <w:lang w:val="es-EC"/>
        </w:rPr>
        <w:t xml:space="preserve">El traspaso de las acciones del Banco de Guayaquil en </w:t>
      </w:r>
      <w:r w:rsidRPr="0067008A">
        <w:rPr>
          <w:rFonts w:ascii="Times New Roman" w:hAnsi="Times New Roman" w:cs="Times New Roman"/>
          <w:lang w:val="es-ES"/>
        </w:rPr>
        <w:t>BANISI S.A a BANISI HOLDING S.A.</w:t>
      </w:r>
      <w:r w:rsidRPr="0067008A">
        <w:rPr>
          <w:rFonts w:ascii="Times New Roman" w:hAnsi="Times New Roman" w:cs="Times New Roman"/>
          <w:lang w:val="es-EC"/>
        </w:rPr>
        <w:t>, corresponde a una acción administrativa autorizada por la Super Intendencia de Bancos de Panamá, que no implicó que ambas sociedades constituidas en un régimen de paraíso fiscal, dejaran de pertenecer a las 66 empresas que conforman el Grupo Económico Banco de Guayaquil, tal como consta en los actuales registros del SRI.</w:t>
      </w:r>
    </w:p>
    <w:p w:rsidR="006A4D59" w:rsidRPr="0067008A" w:rsidRDefault="00921711" w:rsidP="00677E33">
      <w:pPr>
        <w:numPr>
          <w:ilvl w:val="0"/>
          <w:numId w:val="26"/>
        </w:numPr>
        <w:spacing w:after="240" w:line="360" w:lineRule="auto"/>
        <w:jc w:val="both"/>
        <w:rPr>
          <w:rFonts w:ascii="Times New Roman" w:hAnsi="Times New Roman" w:cs="Times New Roman"/>
        </w:rPr>
      </w:pPr>
      <w:r w:rsidRPr="0067008A">
        <w:rPr>
          <w:rFonts w:ascii="Times New Roman" w:hAnsi="Times New Roman" w:cs="Times New Roman"/>
          <w:lang w:val="es-EC"/>
        </w:rPr>
        <w:t xml:space="preserve">De la documentación revisada y de la búsqueda de información en web, no se ha constatado que </w:t>
      </w:r>
      <w:r w:rsidRPr="0067008A">
        <w:rPr>
          <w:rFonts w:ascii="Times New Roman" w:hAnsi="Times New Roman" w:cs="Times New Roman"/>
          <w:lang w:val="es-ES"/>
        </w:rPr>
        <w:t>BANISI S.A y BANISI HOLDING S.A., tengan un funcionamiento empresarial separado. En consecuencia, no se evidencia que el acto administrativo se refleje en una actividad operativa individualizada.</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lang w:val="es-EC"/>
        </w:rPr>
        <w:t xml:space="preserve">Que mediante Resolución SBP-0025-2018 de </w:t>
      </w:r>
      <w:r w:rsidRPr="0067008A">
        <w:rPr>
          <w:rFonts w:ascii="Times New Roman" w:hAnsi="Times New Roman" w:cs="Times New Roman"/>
          <w:b/>
          <w:u w:val="single"/>
          <w:lang w:val="es-EC"/>
        </w:rPr>
        <w:t>15 de marzo de 2018</w:t>
      </w:r>
      <w:r w:rsidRPr="0067008A">
        <w:rPr>
          <w:rFonts w:ascii="Times New Roman" w:hAnsi="Times New Roman" w:cs="Times New Roman"/>
          <w:lang w:val="es-EC"/>
        </w:rPr>
        <w:t xml:space="preserve">, la Super Intendencia de bancos de la República de Panamá, autorizó </w:t>
      </w:r>
      <w:r w:rsidRPr="0067008A">
        <w:rPr>
          <w:rFonts w:ascii="Times New Roman" w:hAnsi="Times New Roman" w:cs="Times New Roman"/>
          <w:lang w:val="es-ES"/>
        </w:rPr>
        <w:t xml:space="preserve">que: </w:t>
      </w:r>
    </w:p>
    <w:p w:rsidR="006A4D59" w:rsidRPr="0067008A" w:rsidRDefault="00921711" w:rsidP="00677E33">
      <w:pPr>
        <w:spacing w:after="240" w:line="360" w:lineRule="auto"/>
        <w:ind w:left="720"/>
        <w:jc w:val="both"/>
        <w:rPr>
          <w:rFonts w:ascii="Times New Roman" w:hAnsi="Times New Roman" w:cs="Times New Roman"/>
        </w:rPr>
      </w:pPr>
      <w:r w:rsidRPr="0067008A">
        <w:rPr>
          <w:rFonts w:ascii="Times New Roman" w:hAnsi="Times New Roman" w:cs="Times New Roman"/>
          <w:b/>
          <w:lang w:val="es-ES"/>
        </w:rPr>
        <w:t xml:space="preserve">BANISI HOLDING S.A. </w:t>
      </w:r>
      <w:r w:rsidRPr="0067008A">
        <w:rPr>
          <w:rFonts w:ascii="Times New Roman" w:hAnsi="Times New Roman" w:cs="Times New Roman"/>
          <w:lang w:val="es-ES"/>
        </w:rPr>
        <w:t>inscrita en el Registro Público de Panamá a Folio 788480 (S), el 4 de diciembre de 2012, propietaria del 100% de las acciones emitidas y en circulación de BANISI, S.A.;</w:t>
      </w:r>
    </w:p>
    <w:p w:rsidR="006A4D59" w:rsidRPr="0067008A" w:rsidRDefault="00921711" w:rsidP="00677E33">
      <w:pPr>
        <w:spacing w:after="240" w:line="360" w:lineRule="auto"/>
        <w:ind w:left="720"/>
        <w:jc w:val="both"/>
        <w:rPr>
          <w:rFonts w:ascii="Times New Roman" w:hAnsi="Times New Roman" w:cs="Times New Roman"/>
        </w:rPr>
      </w:pPr>
      <w:r w:rsidRPr="0067008A">
        <w:rPr>
          <w:rFonts w:ascii="Times New Roman" w:hAnsi="Times New Roman" w:cs="Times New Roman"/>
          <w:b/>
          <w:lang w:val="es-ES"/>
        </w:rPr>
        <w:t xml:space="preserve">BANISI, S.A., </w:t>
      </w:r>
      <w:r w:rsidRPr="0067008A">
        <w:rPr>
          <w:rFonts w:ascii="Times New Roman" w:hAnsi="Times New Roman" w:cs="Times New Roman"/>
          <w:lang w:val="es-ES"/>
        </w:rPr>
        <w:t>con</w:t>
      </w:r>
      <w:r w:rsidRPr="0067008A">
        <w:rPr>
          <w:rFonts w:ascii="Times New Roman" w:hAnsi="Times New Roman" w:cs="Times New Roman"/>
          <w:b/>
          <w:lang w:val="es-ES"/>
        </w:rPr>
        <w:t xml:space="preserve"> </w:t>
      </w:r>
      <w:r w:rsidRPr="0067008A">
        <w:rPr>
          <w:rFonts w:ascii="Times New Roman" w:hAnsi="Times New Roman" w:cs="Times New Roman"/>
          <w:lang w:val="es-ES"/>
        </w:rPr>
        <w:t>Licencia Bancaria General otorgada mediante Resolución S.B.P. No.110-2007 de 27 de julio 2007;</w:t>
      </w:r>
    </w:p>
    <w:p w:rsidR="006A4D59" w:rsidRPr="0067008A" w:rsidRDefault="00921711" w:rsidP="00677E33">
      <w:pPr>
        <w:spacing w:after="240" w:line="360" w:lineRule="auto"/>
        <w:ind w:left="720"/>
        <w:jc w:val="both"/>
        <w:rPr>
          <w:rFonts w:ascii="Times New Roman" w:hAnsi="Times New Roman" w:cs="Times New Roman"/>
        </w:rPr>
      </w:pPr>
      <w:r w:rsidRPr="0067008A">
        <w:rPr>
          <w:rFonts w:ascii="Times New Roman" w:hAnsi="Times New Roman" w:cs="Times New Roman"/>
          <w:b/>
          <w:lang w:val="es-ES"/>
        </w:rPr>
        <w:t>MORSETT HOLDING S.A.</w:t>
      </w:r>
      <w:r w:rsidRPr="0067008A">
        <w:rPr>
          <w:rFonts w:ascii="Times New Roman" w:hAnsi="Times New Roman" w:cs="Times New Roman"/>
          <w:lang w:val="es-ES"/>
        </w:rPr>
        <w:t xml:space="preserve">, </w:t>
      </w:r>
      <w:r w:rsidRPr="0067008A">
        <w:rPr>
          <w:rFonts w:ascii="Times New Roman" w:hAnsi="Times New Roman" w:cs="Times New Roman"/>
          <w:b/>
          <w:lang w:val="es-ES"/>
        </w:rPr>
        <w:t>DEBLEN OVERSEAS, S.A., REM PANAMA CORP.</w:t>
      </w:r>
      <w:r w:rsidRPr="0067008A">
        <w:rPr>
          <w:rFonts w:ascii="Times New Roman" w:hAnsi="Times New Roman" w:cs="Times New Roman"/>
          <w:lang w:val="es-ES"/>
        </w:rPr>
        <w:t xml:space="preserve">, </w:t>
      </w:r>
      <w:r w:rsidRPr="0067008A">
        <w:rPr>
          <w:rFonts w:ascii="Times New Roman" w:hAnsi="Times New Roman" w:cs="Times New Roman"/>
          <w:b/>
          <w:lang w:val="es-ES"/>
        </w:rPr>
        <w:t xml:space="preserve">ALAMO MANAGEMENT COMPANY INC. </w:t>
      </w:r>
      <w:r w:rsidRPr="0067008A">
        <w:rPr>
          <w:rFonts w:ascii="Times New Roman" w:hAnsi="Times New Roman" w:cs="Times New Roman"/>
          <w:lang w:val="es-ES"/>
        </w:rPr>
        <w:t xml:space="preserve">y </w:t>
      </w:r>
      <w:r w:rsidRPr="0067008A">
        <w:rPr>
          <w:rFonts w:ascii="Times New Roman" w:hAnsi="Times New Roman" w:cs="Times New Roman"/>
          <w:b/>
          <w:lang w:val="es-ES"/>
        </w:rPr>
        <w:t xml:space="preserve">BANDERILLA CAPITAL GROUP S.A. </w:t>
      </w:r>
      <w:r w:rsidRPr="0067008A">
        <w:rPr>
          <w:rFonts w:ascii="Times New Roman" w:hAnsi="Times New Roman" w:cs="Times New Roman"/>
          <w:lang w:val="es-ES"/>
        </w:rPr>
        <w:t>son sociedades anónimas constituidas conforme las Leyes de la República de Panamá</w:t>
      </w:r>
      <w:r w:rsidR="006411F2" w:rsidRPr="0067008A">
        <w:rPr>
          <w:rFonts w:ascii="Times New Roman" w:hAnsi="Times New Roman" w:cs="Times New Roman"/>
          <w:lang w:val="es-ES"/>
        </w:rPr>
        <w:t>.</w:t>
      </w:r>
    </w:p>
    <w:p w:rsidR="006A4D59" w:rsidRPr="0067008A" w:rsidRDefault="00921711" w:rsidP="00677E33">
      <w:pPr>
        <w:spacing w:after="240" w:line="360" w:lineRule="auto"/>
        <w:ind w:left="720"/>
        <w:jc w:val="both"/>
        <w:rPr>
          <w:rFonts w:ascii="Times New Roman" w:hAnsi="Times New Roman" w:cs="Times New Roman"/>
        </w:rPr>
      </w:pPr>
      <w:r w:rsidRPr="0067008A">
        <w:rPr>
          <w:rFonts w:ascii="Times New Roman" w:hAnsi="Times New Roman" w:cs="Times New Roman"/>
          <w:b/>
          <w:lang w:val="en-US"/>
        </w:rPr>
        <w:t>BANISI HOLDING S.A</w:t>
      </w:r>
      <w:r w:rsidRPr="0067008A">
        <w:rPr>
          <w:rFonts w:ascii="Times New Roman" w:hAnsi="Times New Roman" w:cs="Times New Roman"/>
          <w:lang w:val="en-US"/>
        </w:rPr>
        <w:t xml:space="preserve">. y las sociedades </w:t>
      </w:r>
      <w:r w:rsidRPr="0067008A">
        <w:rPr>
          <w:rFonts w:ascii="Times New Roman" w:hAnsi="Times New Roman" w:cs="Times New Roman"/>
          <w:b/>
          <w:lang w:val="en-US"/>
        </w:rPr>
        <w:t xml:space="preserve">MORSETT HOLDING S.A., DEBLEN OVERSEAS, S.A., REM PANAMA CORP., ALAMO MANAGEMENT COMPANY INC. </w:t>
      </w:r>
      <w:r w:rsidRPr="0067008A">
        <w:rPr>
          <w:rFonts w:ascii="Times New Roman" w:hAnsi="Times New Roman" w:cs="Times New Roman"/>
          <w:b/>
          <w:lang w:val="es-ES"/>
        </w:rPr>
        <w:t xml:space="preserve">BANDERILLA CAPITAL GROUP S.A. </w:t>
      </w:r>
      <w:r w:rsidRPr="0067008A">
        <w:rPr>
          <w:rFonts w:ascii="Times New Roman" w:hAnsi="Times New Roman" w:cs="Times New Roman"/>
          <w:lang w:val="es-ES"/>
        </w:rPr>
        <w:t xml:space="preserve">en calidad de emisor y en calidad de suscriptores, respectivamente, han presentado solicitud de manera conjunta, para efectuar el aumento de capital emitido y en circulación de la sociedad </w:t>
      </w:r>
      <w:r w:rsidRPr="0067008A">
        <w:rPr>
          <w:rFonts w:ascii="Times New Roman" w:hAnsi="Times New Roman" w:cs="Times New Roman"/>
          <w:b/>
          <w:lang w:val="es-ES"/>
        </w:rPr>
        <w:t>BANISI HOLDING, S.A.</w:t>
      </w:r>
      <w:r w:rsidRPr="0067008A">
        <w:rPr>
          <w:rFonts w:ascii="Times New Roman" w:hAnsi="Times New Roman" w:cs="Times New Roman"/>
          <w:lang w:val="es-ES"/>
        </w:rPr>
        <w:t xml:space="preserve">, que conlleva la adquisición del 50% de las acciones de </w:t>
      </w:r>
      <w:r w:rsidRPr="0067008A">
        <w:rPr>
          <w:rFonts w:ascii="Times New Roman" w:hAnsi="Times New Roman" w:cs="Times New Roman"/>
          <w:b/>
          <w:lang w:val="es-ES"/>
        </w:rPr>
        <w:t>BANISI HOLDING, S. A</w:t>
      </w:r>
      <w:r w:rsidRPr="0067008A">
        <w:rPr>
          <w:rFonts w:ascii="Times New Roman" w:hAnsi="Times New Roman" w:cs="Times New Roman"/>
          <w:lang w:val="es-ES"/>
        </w:rPr>
        <w:t>.</w:t>
      </w:r>
      <w:r w:rsidR="00677E33" w:rsidRPr="0067008A">
        <w:rPr>
          <w:rFonts w:ascii="Times New Roman" w:hAnsi="Times New Roman" w:cs="Times New Roman"/>
          <w:lang w:val="es-ES"/>
        </w:rPr>
        <w:t xml:space="preserve"> </w:t>
      </w:r>
      <w:r w:rsidRPr="0067008A">
        <w:rPr>
          <w:rFonts w:ascii="Times New Roman" w:hAnsi="Times New Roman" w:cs="Times New Roman"/>
          <w:lang w:val="es-ES"/>
        </w:rPr>
        <w:t xml:space="preserve">por parte de las sociedades </w:t>
      </w:r>
      <w:r w:rsidRPr="0067008A">
        <w:rPr>
          <w:rFonts w:ascii="Times New Roman" w:hAnsi="Times New Roman" w:cs="Times New Roman"/>
          <w:b/>
          <w:lang w:val="es-ES"/>
        </w:rPr>
        <w:t>MORSETT</w:t>
      </w:r>
      <w:r w:rsidR="00677E33" w:rsidRPr="0067008A">
        <w:rPr>
          <w:rFonts w:ascii="Times New Roman" w:hAnsi="Times New Roman" w:cs="Times New Roman"/>
          <w:b/>
          <w:lang w:val="es-ES"/>
        </w:rPr>
        <w:t xml:space="preserve"> </w:t>
      </w:r>
      <w:r w:rsidRPr="0067008A">
        <w:rPr>
          <w:rFonts w:ascii="Times New Roman" w:hAnsi="Times New Roman" w:cs="Times New Roman"/>
          <w:b/>
          <w:lang w:val="es-ES"/>
        </w:rPr>
        <w:t>HOLDING</w:t>
      </w:r>
      <w:r w:rsidR="00677E33" w:rsidRPr="0067008A">
        <w:rPr>
          <w:rFonts w:ascii="Times New Roman" w:hAnsi="Times New Roman" w:cs="Times New Roman"/>
          <w:b/>
          <w:lang w:val="es-ES"/>
        </w:rPr>
        <w:t xml:space="preserve"> </w:t>
      </w:r>
      <w:r w:rsidRPr="0067008A">
        <w:rPr>
          <w:rFonts w:ascii="Times New Roman" w:hAnsi="Times New Roman" w:cs="Times New Roman"/>
          <w:b/>
          <w:lang w:val="es-ES"/>
        </w:rPr>
        <w:t>S.A.,</w:t>
      </w:r>
      <w:r w:rsidR="00677E33" w:rsidRPr="0067008A">
        <w:rPr>
          <w:rFonts w:ascii="Times New Roman" w:hAnsi="Times New Roman" w:cs="Times New Roman"/>
          <w:b/>
          <w:lang w:val="es-ES"/>
        </w:rPr>
        <w:t xml:space="preserve"> </w:t>
      </w:r>
      <w:r w:rsidRPr="0067008A">
        <w:rPr>
          <w:rFonts w:ascii="Times New Roman" w:hAnsi="Times New Roman" w:cs="Times New Roman"/>
          <w:b/>
          <w:lang w:val="es-ES"/>
        </w:rPr>
        <w:t>DEBLEN</w:t>
      </w:r>
      <w:r w:rsidR="00677E33" w:rsidRPr="0067008A">
        <w:rPr>
          <w:rFonts w:ascii="Times New Roman" w:hAnsi="Times New Roman" w:cs="Times New Roman"/>
          <w:b/>
          <w:lang w:val="es-ES"/>
        </w:rPr>
        <w:t xml:space="preserve"> </w:t>
      </w:r>
      <w:r w:rsidRPr="0067008A">
        <w:rPr>
          <w:rFonts w:ascii="Times New Roman" w:hAnsi="Times New Roman" w:cs="Times New Roman"/>
          <w:b/>
          <w:lang w:val="es-ES"/>
        </w:rPr>
        <w:t>OVERSEAS,</w:t>
      </w:r>
      <w:r w:rsidR="00677E33" w:rsidRPr="0067008A">
        <w:rPr>
          <w:rFonts w:ascii="Times New Roman" w:hAnsi="Times New Roman" w:cs="Times New Roman"/>
          <w:b/>
          <w:lang w:val="es-ES"/>
        </w:rPr>
        <w:t xml:space="preserve"> </w:t>
      </w:r>
      <w:r w:rsidRPr="0067008A">
        <w:rPr>
          <w:rFonts w:ascii="Times New Roman" w:hAnsi="Times New Roman" w:cs="Times New Roman"/>
          <w:b/>
          <w:lang w:val="es-ES"/>
        </w:rPr>
        <w:t>S.A.,</w:t>
      </w:r>
      <w:r w:rsidR="00677E33" w:rsidRPr="0067008A">
        <w:rPr>
          <w:rFonts w:ascii="Times New Roman" w:hAnsi="Times New Roman" w:cs="Times New Roman"/>
          <w:b/>
          <w:lang w:val="es-ES"/>
        </w:rPr>
        <w:t xml:space="preserve"> </w:t>
      </w:r>
      <w:r w:rsidRPr="0067008A">
        <w:rPr>
          <w:rFonts w:ascii="Times New Roman" w:hAnsi="Times New Roman" w:cs="Times New Roman"/>
          <w:b/>
          <w:lang w:val="es-ES"/>
        </w:rPr>
        <w:t>REM</w:t>
      </w:r>
      <w:r w:rsidR="00677E33" w:rsidRPr="0067008A">
        <w:rPr>
          <w:rFonts w:ascii="Times New Roman" w:hAnsi="Times New Roman" w:cs="Times New Roman"/>
          <w:b/>
          <w:lang w:val="es-ES"/>
        </w:rPr>
        <w:t xml:space="preserve"> </w:t>
      </w:r>
      <w:r w:rsidRPr="0067008A">
        <w:rPr>
          <w:rFonts w:ascii="Times New Roman" w:hAnsi="Times New Roman" w:cs="Times New Roman"/>
          <w:b/>
          <w:lang w:val="es-ES"/>
        </w:rPr>
        <w:t>PANAMA CORP.,</w:t>
      </w:r>
      <w:r w:rsidR="00677E33" w:rsidRPr="0067008A">
        <w:rPr>
          <w:rFonts w:ascii="Times New Roman" w:hAnsi="Times New Roman" w:cs="Times New Roman"/>
          <w:b/>
          <w:lang w:val="es-ES"/>
        </w:rPr>
        <w:t xml:space="preserve"> </w:t>
      </w:r>
      <w:r w:rsidRPr="0067008A">
        <w:rPr>
          <w:rFonts w:ascii="Times New Roman" w:hAnsi="Times New Roman" w:cs="Times New Roman"/>
          <w:b/>
          <w:lang w:val="es-ES"/>
        </w:rPr>
        <w:t>ALAMO MANAGEMENT COMPANY INC</w:t>
      </w:r>
      <w:r w:rsidRPr="0067008A">
        <w:rPr>
          <w:rFonts w:ascii="Times New Roman" w:hAnsi="Times New Roman" w:cs="Times New Roman"/>
          <w:lang w:val="es-ES"/>
        </w:rPr>
        <w:t xml:space="preserve">. y </w:t>
      </w:r>
      <w:r w:rsidRPr="0067008A">
        <w:rPr>
          <w:rFonts w:ascii="Times New Roman" w:hAnsi="Times New Roman" w:cs="Times New Roman"/>
          <w:b/>
          <w:lang w:val="es-ES"/>
        </w:rPr>
        <w:t>BANDERILLA CAPITAL GROUP</w:t>
      </w:r>
      <w:r w:rsidR="00677E33" w:rsidRPr="0067008A">
        <w:rPr>
          <w:rFonts w:ascii="Times New Roman" w:hAnsi="Times New Roman" w:cs="Times New Roman"/>
          <w:b/>
          <w:lang w:val="es-ES"/>
        </w:rPr>
        <w:t xml:space="preserve"> </w:t>
      </w:r>
      <w:r w:rsidRPr="0067008A">
        <w:rPr>
          <w:rFonts w:ascii="Times New Roman" w:hAnsi="Times New Roman" w:cs="Times New Roman"/>
          <w:b/>
          <w:lang w:val="es-ES"/>
        </w:rPr>
        <w:t>S.A</w:t>
      </w:r>
      <w:r w:rsidRPr="0067008A">
        <w:rPr>
          <w:rFonts w:ascii="Times New Roman" w:hAnsi="Times New Roman" w:cs="Times New Roman"/>
          <w:lang w:val="es-ES"/>
        </w:rPr>
        <w:t xml:space="preserve">. </w:t>
      </w:r>
    </w:p>
    <w:p w:rsidR="006A4D59" w:rsidRPr="0067008A" w:rsidRDefault="00921711" w:rsidP="006411F2">
      <w:pPr>
        <w:spacing w:after="240" w:line="360" w:lineRule="auto"/>
        <w:ind w:left="720"/>
        <w:jc w:val="both"/>
        <w:rPr>
          <w:rFonts w:ascii="Times New Roman" w:hAnsi="Times New Roman" w:cs="Times New Roman"/>
        </w:rPr>
      </w:pPr>
      <w:r w:rsidRPr="0067008A">
        <w:rPr>
          <w:rFonts w:ascii="Times New Roman" w:hAnsi="Times New Roman" w:cs="Times New Roman"/>
          <w:lang w:val="es-ES"/>
        </w:rPr>
        <w:t xml:space="preserve">El aumento de capital emitido y en circulación de la sociedad </w:t>
      </w:r>
      <w:r w:rsidRPr="0067008A">
        <w:rPr>
          <w:rFonts w:ascii="Times New Roman" w:hAnsi="Times New Roman" w:cs="Times New Roman"/>
          <w:b/>
          <w:lang w:val="es-ES"/>
        </w:rPr>
        <w:t>BANISI</w:t>
      </w:r>
      <w:r w:rsidR="00677E33" w:rsidRPr="0067008A">
        <w:rPr>
          <w:rFonts w:ascii="Times New Roman" w:hAnsi="Times New Roman" w:cs="Times New Roman"/>
          <w:b/>
          <w:lang w:val="es-ES"/>
        </w:rPr>
        <w:t xml:space="preserve"> </w:t>
      </w:r>
      <w:r w:rsidRPr="0067008A">
        <w:rPr>
          <w:rFonts w:ascii="Times New Roman" w:hAnsi="Times New Roman" w:cs="Times New Roman"/>
          <w:b/>
          <w:lang w:val="es-ES"/>
        </w:rPr>
        <w:t>HOLDING</w:t>
      </w:r>
      <w:r w:rsidR="00677E33" w:rsidRPr="0067008A">
        <w:rPr>
          <w:rFonts w:ascii="Times New Roman" w:hAnsi="Times New Roman" w:cs="Times New Roman"/>
          <w:b/>
          <w:lang w:val="es-ES"/>
        </w:rPr>
        <w:t xml:space="preserve"> </w:t>
      </w:r>
      <w:r w:rsidRPr="0067008A">
        <w:rPr>
          <w:rFonts w:ascii="Times New Roman" w:hAnsi="Times New Roman" w:cs="Times New Roman"/>
          <w:b/>
          <w:lang w:val="es-ES"/>
        </w:rPr>
        <w:t>S.A.</w:t>
      </w:r>
      <w:r w:rsidRPr="0067008A">
        <w:rPr>
          <w:rFonts w:ascii="Times New Roman" w:hAnsi="Times New Roman" w:cs="Times New Roman"/>
          <w:lang w:val="es-ES"/>
        </w:rPr>
        <w:t>, que conlleva</w:t>
      </w:r>
      <w:r w:rsidR="00677E33" w:rsidRPr="0067008A">
        <w:rPr>
          <w:rFonts w:ascii="Times New Roman" w:hAnsi="Times New Roman" w:cs="Times New Roman"/>
          <w:lang w:val="es-ES"/>
        </w:rPr>
        <w:t xml:space="preserve"> </w:t>
      </w:r>
      <w:r w:rsidRPr="0067008A">
        <w:rPr>
          <w:rFonts w:ascii="Times New Roman" w:hAnsi="Times New Roman" w:cs="Times New Roman"/>
          <w:lang w:val="es-ES"/>
        </w:rPr>
        <w:t>la</w:t>
      </w:r>
      <w:r w:rsidR="00677E33" w:rsidRPr="0067008A">
        <w:rPr>
          <w:rFonts w:ascii="Times New Roman" w:hAnsi="Times New Roman" w:cs="Times New Roman"/>
          <w:lang w:val="es-ES"/>
        </w:rPr>
        <w:t xml:space="preserve"> </w:t>
      </w:r>
      <w:r w:rsidRPr="0067008A">
        <w:rPr>
          <w:rFonts w:ascii="Times New Roman" w:hAnsi="Times New Roman" w:cs="Times New Roman"/>
          <w:lang w:val="es-ES"/>
        </w:rPr>
        <w:t>adquisición</w:t>
      </w:r>
      <w:r w:rsidR="00677E33" w:rsidRPr="0067008A">
        <w:rPr>
          <w:rFonts w:ascii="Times New Roman" w:hAnsi="Times New Roman" w:cs="Times New Roman"/>
          <w:lang w:val="es-ES"/>
        </w:rPr>
        <w:t xml:space="preserve"> </w:t>
      </w:r>
      <w:r w:rsidRPr="0067008A">
        <w:rPr>
          <w:rFonts w:ascii="Times New Roman" w:hAnsi="Times New Roman" w:cs="Times New Roman"/>
          <w:lang w:val="es-ES"/>
        </w:rPr>
        <w:t>del</w:t>
      </w:r>
      <w:r w:rsidR="00677E33" w:rsidRPr="0067008A">
        <w:rPr>
          <w:rFonts w:ascii="Times New Roman" w:hAnsi="Times New Roman" w:cs="Times New Roman"/>
          <w:lang w:val="es-ES"/>
        </w:rPr>
        <w:t xml:space="preserve"> </w:t>
      </w:r>
      <w:r w:rsidRPr="0067008A">
        <w:rPr>
          <w:rFonts w:ascii="Times New Roman" w:hAnsi="Times New Roman" w:cs="Times New Roman"/>
          <w:lang w:val="es-ES"/>
        </w:rPr>
        <w:t xml:space="preserve">50% de las acciones de </w:t>
      </w:r>
      <w:r w:rsidRPr="0067008A">
        <w:rPr>
          <w:rFonts w:ascii="Times New Roman" w:hAnsi="Times New Roman" w:cs="Times New Roman"/>
          <w:b/>
          <w:lang w:val="es-ES"/>
        </w:rPr>
        <w:t>BANISI HOLDING, S. A</w:t>
      </w:r>
      <w:r w:rsidRPr="0067008A">
        <w:rPr>
          <w:rFonts w:ascii="Times New Roman" w:hAnsi="Times New Roman" w:cs="Times New Roman"/>
          <w:lang w:val="es-ES"/>
        </w:rPr>
        <w:t xml:space="preserve">. por parte de las sociedades </w:t>
      </w:r>
      <w:r w:rsidRPr="0067008A">
        <w:rPr>
          <w:rFonts w:ascii="Times New Roman" w:hAnsi="Times New Roman" w:cs="Times New Roman"/>
          <w:b/>
          <w:lang w:val="es-ES"/>
        </w:rPr>
        <w:t>MORSETT HOLDING S.A., DEBLEN OVERSEAS, S.A., REM PANAMA CORP., ALAMO MANAGEMENT COMPANY INC</w:t>
      </w:r>
      <w:r w:rsidRPr="0067008A">
        <w:rPr>
          <w:rFonts w:ascii="Times New Roman" w:hAnsi="Times New Roman" w:cs="Times New Roman"/>
          <w:lang w:val="es-ES"/>
        </w:rPr>
        <w:t xml:space="preserve">. y </w:t>
      </w:r>
      <w:r w:rsidRPr="0067008A">
        <w:rPr>
          <w:rFonts w:ascii="Times New Roman" w:hAnsi="Times New Roman" w:cs="Times New Roman"/>
          <w:b/>
          <w:lang w:val="es-ES"/>
        </w:rPr>
        <w:t>BANDERILLA CAPITAL GROUP S.A</w:t>
      </w:r>
      <w:r w:rsidRPr="0067008A">
        <w:rPr>
          <w:rFonts w:ascii="Times New Roman" w:hAnsi="Times New Roman" w:cs="Times New Roman"/>
          <w:lang w:val="es-ES"/>
        </w:rPr>
        <w:t xml:space="preserve">. </w:t>
      </w:r>
    </w:p>
    <w:p w:rsidR="006A4D59" w:rsidRPr="0067008A" w:rsidRDefault="00921711" w:rsidP="00677E33">
      <w:pPr>
        <w:spacing w:after="240" w:line="360" w:lineRule="auto"/>
        <w:rPr>
          <w:rFonts w:ascii="Times New Roman" w:hAnsi="Times New Roman" w:cs="Times New Roman"/>
        </w:rPr>
      </w:pPr>
      <w:r w:rsidRPr="0067008A">
        <w:rPr>
          <w:rFonts w:ascii="Times New Roman" w:hAnsi="Times New Roman" w:cs="Times New Roman"/>
          <w:lang w:val="es-EC"/>
        </w:rPr>
        <w:t xml:space="preserve">Que mediante Resolución SBP-0106-2020 de </w:t>
      </w:r>
      <w:r w:rsidRPr="0067008A">
        <w:rPr>
          <w:rFonts w:ascii="Times New Roman" w:hAnsi="Times New Roman" w:cs="Times New Roman"/>
          <w:b/>
          <w:u w:val="single"/>
          <w:lang w:val="es-EC"/>
        </w:rPr>
        <w:t>10 de septiembre de 2020</w:t>
      </w:r>
      <w:r w:rsidRPr="0067008A">
        <w:rPr>
          <w:rFonts w:ascii="Times New Roman" w:hAnsi="Times New Roman" w:cs="Times New Roman"/>
          <w:lang w:val="es-EC"/>
        </w:rPr>
        <w:t xml:space="preserve">, la Super Intendencia de bancos de la República de Panamá, autorizó </w:t>
      </w:r>
      <w:r w:rsidRPr="0067008A">
        <w:rPr>
          <w:rFonts w:ascii="Times New Roman" w:hAnsi="Times New Roman" w:cs="Times New Roman"/>
          <w:lang w:val="es-ES"/>
        </w:rPr>
        <w:t>que:</w:t>
      </w:r>
    </w:p>
    <w:p w:rsidR="006A4D59" w:rsidRPr="0067008A" w:rsidRDefault="00921711" w:rsidP="00677E33">
      <w:pPr>
        <w:spacing w:after="240" w:line="360" w:lineRule="auto"/>
        <w:ind w:left="720"/>
        <w:jc w:val="both"/>
        <w:rPr>
          <w:rFonts w:ascii="Times New Roman" w:hAnsi="Times New Roman" w:cs="Times New Roman"/>
        </w:rPr>
      </w:pPr>
      <w:r w:rsidRPr="0067008A">
        <w:rPr>
          <w:rFonts w:ascii="Times New Roman" w:hAnsi="Times New Roman" w:cs="Times New Roman"/>
          <w:b/>
          <w:lang w:val="es-EC"/>
        </w:rPr>
        <w:t>BANISI S.A.</w:t>
      </w:r>
      <w:r w:rsidRPr="0067008A">
        <w:rPr>
          <w:rFonts w:ascii="Times New Roman" w:hAnsi="Times New Roman" w:cs="Times New Roman"/>
          <w:lang w:val="es-EC"/>
        </w:rPr>
        <w:t xml:space="preserve"> (creada con </w:t>
      </w:r>
      <w:r w:rsidRPr="0067008A">
        <w:rPr>
          <w:rFonts w:ascii="Times New Roman" w:hAnsi="Times New Roman" w:cs="Times New Roman"/>
          <w:lang w:val="es-ES"/>
        </w:rPr>
        <w:t xml:space="preserve">Resolución S.B.P. No.110-2007 el 27 de julio 2007); </w:t>
      </w:r>
    </w:p>
    <w:p w:rsidR="006A4D59" w:rsidRPr="0067008A" w:rsidRDefault="00921711" w:rsidP="006411F2">
      <w:pPr>
        <w:spacing w:after="240" w:line="360" w:lineRule="auto"/>
        <w:ind w:left="720"/>
        <w:jc w:val="both"/>
        <w:rPr>
          <w:rFonts w:ascii="Times New Roman" w:hAnsi="Times New Roman" w:cs="Times New Roman"/>
        </w:rPr>
      </w:pPr>
      <w:r w:rsidRPr="0067008A">
        <w:rPr>
          <w:rFonts w:ascii="Times New Roman" w:hAnsi="Times New Roman" w:cs="Times New Roman"/>
          <w:b/>
          <w:lang w:val="es-ES"/>
        </w:rPr>
        <w:t xml:space="preserve">BANISI HOLDING S.A. </w:t>
      </w:r>
      <w:r w:rsidRPr="0067008A">
        <w:rPr>
          <w:rFonts w:ascii="Times New Roman" w:hAnsi="Times New Roman" w:cs="Times New Roman"/>
          <w:lang w:val="es-ES"/>
        </w:rPr>
        <w:t xml:space="preserve">(creada con Registro Público de Panamá el 4 de diciembre de 2012 a Folio 788480 (S), tenedora del 100% de las acciones emitidas y en circulación de BANISI, S.A.); </w:t>
      </w:r>
    </w:p>
    <w:p w:rsidR="006A4D59" w:rsidRPr="0067008A" w:rsidRDefault="00921711" w:rsidP="006411F2">
      <w:pPr>
        <w:spacing w:after="240" w:line="360" w:lineRule="auto"/>
        <w:ind w:left="720"/>
        <w:jc w:val="both"/>
        <w:rPr>
          <w:rFonts w:ascii="Times New Roman" w:hAnsi="Times New Roman" w:cs="Times New Roman"/>
        </w:rPr>
      </w:pPr>
      <w:r w:rsidRPr="0067008A">
        <w:rPr>
          <w:rFonts w:ascii="Times New Roman" w:hAnsi="Times New Roman" w:cs="Times New Roman"/>
          <w:b/>
          <w:lang w:val="es-ES"/>
        </w:rPr>
        <w:t>BANDERILLA CAPITAL GROUP, S.A</w:t>
      </w:r>
      <w:r w:rsidRPr="0067008A">
        <w:rPr>
          <w:rFonts w:ascii="Times New Roman" w:hAnsi="Times New Roman" w:cs="Times New Roman"/>
          <w:spacing w:val="-1"/>
          <w:lang w:val="es-ES"/>
        </w:rPr>
        <w:t xml:space="preserve"> (</w:t>
      </w:r>
      <w:r w:rsidRPr="0067008A">
        <w:rPr>
          <w:rFonts w:ascii="Times New Roman" w:hAnsi="Times New Roman" w:cs="Times New Roman"/>
          <w:lang w:val="es-EC"/>
        </w:rPr>
        <w:t xml:space="preserve">inscrita en el Registro Público de Panamá, a Folio No. 155604511 el 10 de junio de 2015, propietaria del 11.13% de las acciones emitidas y en circulación de BANISI HOLDING, S.A.); </w:t>
      </w:r>
    </w:p>
    <w:p w:rsidR="006A4D59" w:rsidRPr="0067008A" w:rsidRDefault="00921711" w:rsidP="00677E33">
      <w:pPr>
        <w:spacing w:after="240" w:line="360" w:lineRule="auto"/>
        <w:ind w:left="720"/>
        <w:jc w:val="both"/>
        <w:rPr>
          <w:rFonts w:ascii="Times New Roman" w:hAnsi="Times New Roman" w:cs="Times New Roman"/>
        </w:rPr>
      </w:pPr>
      <w:r w:rsidRPr="0067008A">
        <w:rPr>
          <w:rFonts w:ascii="Times New Roman" w:hAnsi="Times New Roman" w:cs="Times New Roman"/>
          <w:b/>
          <w:lang w:val="es-ES"/>
        </w:rPr>
        <w:t xml:space="preserve">PIETRO OVERSEAS. S.A. </w:t>
      </w:r>
      <w:r w:rsidRPr="0067008A">
        <w:rPr>
          <w:rFonts w:ascii="Times New Roman" w:hAnsi="Times New Roman" w:cs="Times New Roman"/>
          <w:lang w:val="es-EC"/>
        </w:rPr>
        <w:t>(inscrita en el Registro Público de Panamá a Folio No. 735031 y Documento 1969278 el 10 de mayo de 2011, propietaria del 41.59% de las acciones emitidas y en circulación de BANISI HOLDING, S.A., y del 51% de las acciones emitidas y en circulación de BANDERILLA CAPITAL GROUP, S.A., lo que representa el 5.68% de las acciones de BANISI HOLDING, S.A);</w:t>
      </w:r>
    </w:p>
    <w:p w:rsidR="006A4D59" w:rsidRPr="0067008A" w:rsidRDefault="00921711" w:rsidP="006411F2">
      <w:pPr>
        <w:spacing w:after="240" w:line="360" w:lineRule="auto"/>
        <w:ind w:left="720"/>
        <w:jc w:val="both"/>
        <w:rPr>
          <w:rFonts w:ascii="Times New Roman" w:hAnsi="Times New Roman" w:cs="Times New Roman"/>
        </w:rPr>
      </w:pPr>
      <w:r w:rsidRPr="0067008A">
        <w:rPr>
          <w:rFonts w:ascii="Times New Roman" w:hAnsi="Times New Roman" w:cs="Times New Roman"/>
          <w:b/>
          <w:lang w:val="es-ES"/>
        </w:rPr>
        <w:t>BANISI INTERNATIONAL FOUNDATION (</w:t>
      </w:r>
      <w:r w:rsidRPr="0067008A">
        <w:rPr>
          <w:rFonts w:ascii="Times New Roman" w:hAnsi="Times New Roman" w:cs="Times New Roman"/>
          <w:lang w:val="es-ES"/>
        </w:rPr>
        <w:t>fundación de interés privado constituida el 19 de octubre de 2020, inscrita a Folio No. 25042977 de la Sección Mercantil del Registro Público de Panamá);</w:t>
      </w:r>
    </w:p>
    <w:p w:rsidR="006A4D59" w:rsidRPr="0067008A" w:rsidRDefault="00921711" w:rsidP="006411F2">
      <w:pPr>
        <w:spacing w:after="240" w:line="360" w:lineRule="auto"/>
        <w:ind w:left="720"/>
        <w:jc w:val="both"/>
        <w:rPr>
          <w:rFonts w:ascii="Times New Roman" w:hAnsi="Times New Roman" w:cs="Times New Roman"/>
        </w:rPr>
      </w:pPr>
      <w:r w:rsidRPr="0067008A">
        <w:rPr>
          <w:rFonts w:ascii="Times New Roman" w:hAnsi="Times New Roman" w:cs="Times New Roman"/>
          <w:b/>
          <w:lang w:val="es-ES"/>
        </w:rPr>
        <w:t>BANISI HOLDING S.A., (</w:t>
      </w:r>
      <w:r w:rsidRPr="0067008A">
        <w:rPr>
          <w:rFonts w:ascii="Times New Roman" w:hAnsi="Times New Roman" w:cs="Times New Roman"/>
          <w:lang w:val="es-EC"/>
        </w:rPr>
        <w:t xml:space="preserve">ha presentado a través de </w:t>
      </w:r>
      <w:r w:rsidRPr="0067008A">
        <w:rPr>
          <w:rFonts w:ascii="Times New Roman" w:hAnsi="Times New Roman" w:cs="Times New Roman"/>
          <w:b/>
          <w:u w:val="single"/>
          <w:lang w:val="es-EC"/>
        </w:rPr>
        <w:t>sus apoderados especiales</w:t>
      </w:r>
      <w:r w:rsidRPr="0067008A">
        <w:rPr>
          <w:rFonts w:ascii="Times New Roman" w:hAnsi="Times New Roman" w:cs="Times New Roman"/>
          <w:lang w:val="es-EC"/>
        </w:rPr>
        <w:t>, solicitud de autorización para que la sociedad PIETRO OVERSEAS, S.A. traspase el 41.59% de las acciones emitidas y en circulación de su propiedad en BANISI HOLDING, S.A., de manera directa, y el 51% de las acciones emitidas y en circulación de BANDERILLA CAPITAL GROUP, S.A., que representa el 5.68% de las acciones de BANISI HOLDING, S.A., de manera indirecta, lo que conlleva al traspaso del 47.27% de las acciones de la tenedora, a favor de BANISI INTERNATIONAL FOUNDATION)</w:t>
      </w:r>
    </w:p>
    <w:p w:rsidR="006A4D59" w:rsidRPr="0067008A" w:rsidRDefault="00921711" w:rsidP="006411F2">
      <w:pPr>
        <w:spacing w:after="240" w:line="360" w:lineRule="auto"/>
        <w:ind w:left="720"/>
        <w:jc w:val="both"/>
        <w:rPr>
          <w:rFonts w:ascii="Times New Roman" w:hAnsi="Times New Roman" w:cs="Times New Roman"/>
        </w:rPr>
      </w:pPr>
      <w:r w:rsidRPr="0067008A">
        <w:rPr>
          <w:rFonts w:ascii="Times New Roman" w:hAnsi="Times New Roman" w:cs="Times New Roman"/>
          <w:lang w:val="es-EC"/>
        </w:rPr>
        <w:t>El traspaso del</w:t>
      </w:r>
      <w:r w:rsidRPr="0067008A">
        <w:rPr>
          <w:rFonts w:ascii="Times New Roman" w:hAnsi="Times New Roman" w:cs="Times New Roman"/>
          <w:lang w:val="es-ES"/>
        </w:rPr>
        <w:t xml:space="preserve"> 47.27% de las</w:t>
      </w:r>
      <w:r w:rsidR="00677E33" w:rsidRPr="0067008A">
        <w:rPr>
          <w:rFonts w:ascii="Times New Roman" w:hAnsi="Times New Roman" w:cs="Times New Roman"/>
          <w:lang w:val="es-ES"/>
        </w:rPr>
        <w:t xml:space="preserve"> </w:t>
      </w:r>
      <w:r w:rsidRPr="0067008A">
        <w:rPr>
          <w:rFonts w:ascii="Times New Roman" w:hAnsi="Times New Roman" w:cs="Times New Roman"/>
          <w:lang w:val="es-ES"/>
        </w:rPr>
        <w:t>acciones</w:t>
      </w:r>
      <w:r w:rsidR="00677E33" w:rsidRPr="0067008A">
        <w:rPr>
          <w:rFonts w:ascii="Times New Roman" w:hAnsi="Times New Roman" w:cs="Times New Roman"/>
          <w:lang w:val="es-ES"/>
        </w:rPr>
        <w:t xml:space="preserve"> </w:t>
      </w:r>
      <w:r w:rsidRPr="0067008A">
        <w:rPr>
          <w:rFonts w:ascii="Times New Roman" w:hAnsi="Times New Roman" w:cs="Times New Roman"/>
          <w:lang w:val="es-ES"/>
        </w:rPr>
        <w:t>emitidas</w:t>
      </w:r>
      <w:r w:rsidR="00677E33" w:rsidRPr="0067008A">
        <w:rPr>
          <w:rFonts w:ascii="Times New Roman" w:hAnsi="Times New Roman" w:cs="Times New Roman"/>
          <w:lang w:val="es-ES"/>
        </w:rPr>
        <w:t xml:space="preserve"> </w:t>
      </w:r>
      <w:r w:rsidRPr="0067008A">
        <w:rPr>
          <w:rFonts w:ascii="Times New Roman" w:hAnsi="Times New Roman" w:cs="Times New Roman"/>
          <w:lang w:val="es-ES"/>
        </w:rPr>
        <w:t>y</w:t>
      </w:r>
      <w:r w:rsidR="00677E33" w:rsidRPr="0067008A">
        <w:rPr>
          <w:rFonts w:ascii="Times New Roman" w:hAnsi="Times New Roman" w:cs="Times New Roman"/>
          <w:lang w:val="es-ES"/>
        </w:rPr>
        <w:t xml:space="preserve"> </w:t>
      </w:r>
      <w:r w:rsidRPr="0067008A">
        <w:rPr>
          <w:rFonts w:ascii="Times New Roman" w:hAnsi="Times New Roman" w:cs="Times New Roman"/>
          <w:lang w:val="es-ES"/>
        </w:rPr>
        <w:t xml:space="preserve">en circulación de </w:t>
      </w:r>
      <w:r w:rsidRPr="0067008A">
        <w:rPr>
          <w:rFonts w:ascii="Times New Roman" w:hAnsi="Times New Roman" w:cs="Times New Roman"/>
          <w:b/>
          <w:lang w:val="es-ES"/>
        </w:rPr>
        <w:t xml:space="preserve">BANISI HOLDING, S.A., </w:t>
      </w:r>
      <w:r w:rsidRPr="0067008A">
        <w:rPr>
          <w:rFonts w:ascii="Times New Roman" w:hAnsi="Times New Roman" w:cs="Times New Roman"/>
          <w:lang w:val="es-ES"/>
        </w:rPr>
        <w:t xml:space="preserve">lo que conlleva al traspaso por parte de </w:t>
      </w:r>
      <w:r w:rsidRPr="0067008A">
        <w:rPr>
          <w:rFonts w:ascii="Times New Roman" w:hAnsi="Times New Roman" w:cs="Times New Roman"/>
          <w:b/>
          <w:lang w:val="es-ES"/>
        </w:rPr>
        <w:t xml:space="preserve">PIETRO OVERSEAS, S.A., </w:t>
      </w:r>
      <w:r w:rsidRPr="0067008A">
        <w:rPr>
          <w:rFonts w:ascii="Times New Roman" w:hAnsi="Times New Roman" w:cs="Times New Roman"/>
          <w:lang w:val="es-ES"/>
        </w:rPr>
        <w:t xml:space="preserve">del 41.59% de las acciones emitidas y en circulación de su propiedad en </w:t>
      </w:r>
      <w:r w:rsidRPr="0067008A">
        <w:rPr>
          <w:rFonts w:ascii="Times New Roman" w:hAnsi="Times New Roman" w:cs="Times New Roman"/>
          <w:b/>
          <w:lang w:val="es-ES"/>
        </w:rPr>
        <w:t>BANISI HOLDING, S.A.</w:t>
      </w:r>
      <w:r w:rsidRPr="0067008A">
        <w:rPr>
          <w:rFonts w:ascii="Times New Roman" w:hAnsi="Times New Roman" w:cs="Times New Roman"/>
          <w:lang w:val="es-ES"/>
        </w:rPr>
        <w:t xml:space="preserve">, de manera directa, y el 51% de las acciones emitidas y en circulación de </w:t>
      </w:r>
      <w:r w:rsidRPr="0067008A">
        <w:rPr>
          <w:rFonts w:ascii="Times New Roman" w:hAnsi="Times New Roman" w:cs="Times New Roman"/>
          <w:b/>
          <w:lang w:val="es-ES"/>
        </w:rPr>
        <w:t>BANDERILLA CAPITAL GROUP, S.A.</w:t>
      </w:r>
      <w:r w:rsidRPr="0067008A">
        <w:rPr>
          <w:rFonts w:ascii="Times New Roman" w:hAnsi="Times New Roman" w:cs="Times New Roman"/>
          <w:lang w:val="es-ES"/>
        </w:rPr>
        <w:t xml:space="preserve">, que representan el 5.68% de las acciones de </w:t>
      </w:r>
      <w:r w:rsidRPr="0067008A">
        <w:rPr>
          <w:rFonts w:ascii="Times New Roman" w:hAnsi="Times New Roman" w:cs="Times New Roman"/>
          <w:b/>
          <w:lang w:val="es-ES"/>
        </w:rPr>
        <w:t xml:space="preserve">BANISI HOLDING, S.A., </w:t>
      </w:r>
      <w:r w:rsidRPr="0067008A">
        <w:rPr>
          <w:rFonts w:ascii="Times New Roman" w:hAnsi="Times New Roman" w:cs="Times New Roman"/>
          <w:lang w:val="es-ES"/>
        </w:rPr>
        <w:t xml:space="preserve">de manera indirecta, a favor de </w:t>
      </w:r>
      <w:r w:rsidRPr="0067008A">
        <w:rPr>
          <w:rFonts w:ascii="Times New Roman" w:hAnsi="Times New Roman" w:cs="Times New Roman"/>
          <w:b/>
          <w:lang w:val="es-ES"/>
        </w:rPr>
        <w:t>BANISI INTERNATIONAL FOUNDATION.</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lang w:val="es-ES"/>
        </w:rPr>
        <w:t xml:space="preserve">Conclusión: </w:t>
      </w:r>
      <w:r w:rsidRPr="0067008A">
        <w:rPr>
          <w:rFonts w:ascii="Times New Roman" w:hAnsi="Times New Roman" w:cs="Times New Roman"/>
          <w:lang w:val="es-EC"/>
        </w:rPr>
        <w:t>El traspaso de las acciones de Banisi y Banisi Holding, no elimina la articulación de estas empresas con el Grupo Económico Banco de Guayaquil, toda vez que forman parte del conjunto de las 66 empresas que lo conforman, tal como consta en el registro del SRI. Por el contrario, las características de los traspasos de acciones entre entidades registradas en Panamá, reconocida como jurisdicción de paraísos fiscales, demuestra interactuación</w:t>
      </w:r>
      <w:r w:rsidRPr="0067008A">
        <w:rPr>
          <w:rFonts w:ascii="Times New Roman" w:hAnsi="Times New Roman" w:cs="Times New Roman"/>
          <w:lang w:val="es-ES"/>
        </w:rPr>
        <w:t xml:space="preserve"> </w:t>
      </w:r>
    </w:p>
    <w:p w:rsidR="006A4D59" w:rsidRPr="0067008A" w:rsidRDefault="006A4D59" w:rsidP="00677E33">
      <w:pPr>
        <w:spacing w:after="240" w:line="360" w:lineRule="auto"/>
        <w:rPr>
          <w:rFonts w:ascii="Times New Roman" w:hAnsi="Times New Roman" w:cs="Times New Roman"/>
          <w:b/>
          <w:color w:val="FF0000"/>
        </w:rPr>
      </w:pPr>
    </w:p>
    <w:p w:rsidR="006A4D59" w:rsidRPr="0067008A" w:rsidRDefault="00921711" w:rsidP="00677E33">
      <w:pPr>
        <w:spacing w:after="240" w:line="360" w:lineRule="auto"/>
        <w:rPr>
          <w:rFonts w:ascii="Times New Roman" w:hAnsi="Times New Roman" w:cs="Times New Roman"/>
        </w:rPr>
      </w:pPr>
      <w:r w:rsidRPr="0067008A">
        <w:rPr>
          <w:rFonts w:ascii="Times New Roman" w:hAnsi="Times New Roman" w:cs="Times New Roman"/>
          <w:b/>
        </w:rPr>
        <w:t>10.2. ANTECEDENTES FÁCTICOS</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La práctica de constituir empresas en paraísos fiscales data desde 1978, año en el cual el señor Guillermo Lasso, su cónyuge María de Lourdes Alcívar de Lasso, y su cuñado Danilo Carrera constituyeron la empresa SARANAC S.A., en Panamá.</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Desde 2002 hasta el año 2011, en la composición accionaria de Banco de Guayaquil constaba la Corporación Multi BG S.A. A su vez, el principal accionista de Multi BG S.A., fue Andean Investment Ltda., domiciliada en las Islas Caimán; y la sociedad Inversiones Latina Inverlat S.A., domiciliada en Panamá. Andean Investment aportó al capital de Corporación Multi BG S.A., con un total de un millón de dólares (USD. 1</w:t>
      </w:r>
      <w:r w:rsidR="006411F2" w:rsidRPr="0067008A">
        <w:rPr>
          <w:rFonts w:ascii="Times New Roman" w:hAnsi="Times New Roman" w:cs="Times New Roman"/>
        </w:rPr>
        <w:t>.</w:t>
      </w:r>
      <w:r w:rsidRPr="0067008A">
        <w:rPr>
          <w:rFonts w:ascii="Times New Roman" w:hAnsi="Times New Roman" w:cs="Times New Roman"/>
        </w:rPr>
        <w:t>000</w:t>
      </w:r>
      <w:r w:rsidR="006411F2" w:rsidRPr="0067008A">
        <w:rPr>
          <w:rFonts w:ascii="Times New Roman" w:hAnsi="Times New Roman" w:cs="Times New Roman"/>
        </w:rPr>
        <w:t>.</w:t>
      </w:r>
      <w:r w:rsidRPr="0067008A">
        <w:rPr>
          <w:rFonts w:ascii="Times New Roman" w:hAnsi="Times New Roman" w:cs="Times New Roman"/>
        </w:rPr>
        <w:t>000). Cabe señalar, que para el 2002, Guillermo Lasso fue el principal accionista de Andean Investment.</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En 2011, Andean Investment entra en proceso de liquidación y transfiere el capital de esta sociedad a otros fidecomisos nacionales a nombre suyo, de su hermana y de sus hijos, estos son: Fidecomiso GLM, Fidecomiso MELM, Fidecomiso CLM-MMS, Fidecomiso DCD-UNO, Fidecomiso DCD DOS, y</w:t>
      </w:r>
      <w:r w:rsidR="00677E33" w:rsidRPr="0067008A">
        <w:rPr>
          <w:rFonts w:ascii="Times New Roman" w:hAnsi="Times New Roman" w:cs="Times New Roman"/>
        </w:rPr>
        <w:t xml:space="preserve"> </w:t>
      </w:r>
      <w:r w:rsidRPr="0067008A">
        <w:rPr>
          <w:rFonts w:ascii="Times New Roman" w:hAnsi="Times New Roman" w:cs="Times New Roman"/>
        </w:rPr>
        <w:t>En lo posterior, vuelve a transferir las acciones de estas sociedades a otros fidecomisos, pero esta vez en Delaware.</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El 15 de marzo de 2017, el medio de comunicación “Página 12” expuso un contenido comunicacional en el que señalaba que el entonces candidato a la Presidencia de la República, Guillermo Lasso, habría mantenido vínculos con cuarenta y nueve (49) empresas offshore en paraísos fiscales como Panamá, Islas Caimán y Delaware. La misma nota periodística señala que en un solo año, entre 1999 y 2000 el patrimonio del señor Guillermo Lasso, habría aumentado de un millón de dólares (USD. 1000000) a treinta y un millones de dólares (USD. 31000000).</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Estas sociedades offshore en paraísos fiscales, se habrían conformado con el capital derivado de los fideicomisos nacionales referidos en el numeral 3 de este informe. Las nuevas sociedades mantienen los siguientes nombres: Positano LLC, Granada International LLC, Montpellier LLC, Berlin Trade LLC, y Cambridge Trade LLC. En 2013, estos capitales habrían retornado al Ecuador. Conforme consta en el Registro Público de Socios o Accionistas de Corporación Multi BG S.A., de la Superintendencia de Compañías, Valores y Seguros, con fecha de corte 09 de octubre de 2021, los fidecomisos MELM, GLM, DCD UNO, DCD DOS, ACO, JME, CLM MMS, actualmente son accionistas de Corporación Multi BG S.A.</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Para el análisis de la información correspondiente a la relación del Sr. Presidente</w:t>
      </w:r>
      <w:r w:rsidR="00677E33" w:rsidRPr="0067008A">
        <w:rPr>
          <w:rFonts w:ascii="Times New Roman" w:hAnsi="Times New Roman" w:cs="Times New Roman"/>
        </w:rPr>
        <w:t xml:space="preserve"> </w:t>
      </w:r>
      <w:r w:rsidRPr="0067008A">
        <w:rPr>
          <w:rFonts w:ascii="Times New Roman" w:hAnsi="Times New Roman" w:cs="Times New Roman"/>
        </w:rPr>
        <w:t>de la República, Guillermo Lasso Mendoza, y su posible relación con entidades off shore, vinculación establecida a partir de la filtración a nivel internacional realizada por el Consorcio Internacional de Periodistas de Investigación (ICIJ por sus siglas en inglés), y conocidos como “Pandora Papers”, se ha partido de varios criterios de tipo epistemológico, jurídico, y metodológico.</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En términos epistemológicos se supone una comprensión de economía política del comportamiento y de las formas que asumen la relación de grupos con dominancia de mercado y con capacidad de financiarización dentro de la economía. Es decir, se considera que la información correspondiente al Sr. Presidente Guillermo Lasso Mendoza, es pertinente y corresponde a las dinámicas del grupo económico “Banco de Guayaquil”, en su relación con el mercado, y con el Estado y su capacidad de regulación. Esto es clave porque el comportamiento del grupo es estratégico y su relación con inversiones off shore se mueve dentro de ese cálculo político que, en otras circunstancias, habría sido soslayado.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Es por ello que el núcleo más importante desde el cual nacen las decisiones que definen el comportamiento del grupo están en la Corporación MULTIBG S.A. El análisis de esta corporación establece la estructura de propiedad del Banco de Guayaquil como operador del grupo financiero. El análisis da cuenta de un alto nivel de concentración en la propiedad del grupo hacia una sola familia (Lasso Mendoza y Lasso Alcívar), y hacia una corporación (MULTIBG S.A.).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El grupo económico Banco de Guayaquil no opera en el sector real de la economía, sino en aquel de la financiarización, la intermediación financiera, y la especulación financiera.</w:t>
      </w:r>
    </w:p>
    <w:p w:rsidR="006A4D59" w:rsidRPr="0067008A" w:rsidRDefault="00921711" w:rsidP="006411F2">
      <w:pPr>
        <w:spacing w:after="240" w:line="360" w:lineRule="auto"/>
        <w:jc w:val="both"/>
        <w:rPr>
          <w:rFonts w:ascii="Times New Roman" w:hAnsi="Times New Roman" w:cs="Times New Roman"/>
        </w:rPr>
      </w:pPr>
      <w:r w:rsidRPr="0067008A">
        <w:rPr>
          <w:rFonts w:ascii="Times New Roman" w:hAnsi="Times New Roman" w:cs="Times New Roman"/>
        </w:rPr>
        <w:t>De otra parte, y en términos metodológicos, se analizará el comportamiento económico de Guillermo Lasso Mendoza como líder del grupo económico Banco de Guayaquil, y a este grupo económico se lo asume en conformidad con lo establecido al efecto en su determinación de grupos económicos por el Servicio de Rentas Internas, cuya denominación como gran contribuyente es la siguiente:</w:t>
      </w:r>
    </w:p>
    <w:p w:rsidR="006A4D59" w:rsidRPr="0067008A" w:rsidRDefault="00921711" w:rsidP="006411F2">
      <w:pPr>
        <w:spacing w:after="240" w:line="360" w:lineRule="auto"/>
        <w:rPr>
          <w:rFonts w:ascii="Times New Roman" w:hAnsi="Times New Roman" w:cs="Times New Roman"/>
        </w:rPr>
      </w:pPr>
      <w:r w:rsidRPr="0067008A">
        <w:rPr>
          <w:rFonts w:ascii="Times New Roman" w:eastAsia="Times New Roman" w:hAnsi="Times New Roman" w:cs="Times New Roman"/>
        </w:rPr>
        <w:t xml:space="preserve">BANCO DE GUAYAQUIL (CORPORACION MULTIBG, FIDEICOMISO MERCANTIL DE ADMINISTRACION GLM, PROMOQUIL, FIDEICOMISO MERCANTIL DE ADMINISTRACION MELM) </w:t>
      </w:r>
      <w:r w:rsidRPr="0067008A">
        <w:rPr>
          <w:rFonts w:ascii="Times New Roman" w:hAnsi="Times New Roman" w:cs="Times New Roman"/>
        </w:rPr>
        <w:t>(SRI 2021)</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Es decir, se buscará la información correspondiente a este grupo económico, de conformidad con lo que establece la autoridad de recaudación fiscal. El análisis se centra en la relación que nace desde la Corporación MULTIBG S.A., hacia el grupo financiero, en el cual la empresa más importante es el Banco de Guayaquil, Ecuador, y a nivel internacional, el Banco de Guayaquil-Panamá, que cambió su denominación a BANISI en el año 2011 (CORPORACION MULTIBG S.A. 2011).</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En tercer lugar, una determinación que es fundamental para el análisis es la referencia a información exclusivamente oficial. En el presente análisis se parte y se utiliza únicamente información emitida por las autoridades económicas y de control. En ese sentido, las fuentes más importantes que se han utilizado para el presente análisis es la información del Servicio de Rentas Internas, SRI, el Expendiente 19762 de la Superintendencia de Compañías, Valores y Seguros, las Actas de la Junta General Ordinaria de Accionistas de la Corporación MULTIBG S.A., las minutas notariales en las que se inscribieron los aumentos de capital social y las reformas de estatutos, y la información de la Superintendencia de Bancos. Se utilizan de forma marginal otras fuentes oficiales, como el Banco Central, y los informes del Consejo Nacional Electoral, entre otros.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La única excepción es la información que se utiliza del Consorcio ICIJ con respecto a los Pandora Papers, y se la contrasta con la información disponible, o se la utiliza en términos heurísiticos, es decir, para desarrollar hipótesis sobre el comportamiento del grupo con la globalización de capitales financieros a través de fideicomisos y off shore. Se hace mención a la información que ha hecho pública la filtración de los Pandora Papers, pero se es prudente con esa información y no se la utiliza para las conclusiones, en espera que sean las autoridades de control y Fiscalía General del Estado, quienes tendrán que respaldar esas hipótesis con la información pertinente. En el presente análisis no se emiten juicios de valor normativos, ni axiológicos, y se ha utilizado exclusivamente la información oficial para validar las hipótesis planteadas.</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Asimismo, y de acuerdo con las leyes existentes que determinan que las decisiones de una empresa o un conglomerado de empresas, o de un grupo financiero se toman por el número de acciones que poseen sus directivo, las decisiones que se toman dentro del grupo económico Banco de Guayaquil, dependen de la mayoría accionaria dentro del grupo. En efecto, en conformidad con la estructura de gobernanza de las empresas regidas por acciones, y establecida en la Ley de Compañías, las decisiones de absorción, fusión, apertura de nuevas líneas de negocios, venta, canje, de acciones, relación con off shore, entre otras, solamente pueden ser definidas y aprobadas con el criterio mayoritario de los accionistas de la empresa.</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Como se demostrará más adelante, la mayoría de las acciones del Banco de Guayaquil las posee la CORPORACIÓN MULTIBG S.A., y dentro de esta Corporación, la mayoría le pertenecen al Fideicomiso Mercantil de Administración GLM que pertenece a Guillermo Lasso Mendoza, en consecuencia, ninguna de las decisiones importantes del grupo económico pueden adoptarse sin el conocimiento previo, acuerdo explícito y el consentimiento efectivo del accionista más importante del grupo, Guillermo Lasso Mendoza.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Luego de él, los otros dos accionistas más importantes son sus hermanos Carlos Lasso Mendoza y María Eugenia Lasso Mendoza, y sus hijos, en especial Guillermo Enrique Lasso Alcívar y Juan Emilio Lasso Alcívar. Entre todos ellos, poseen la mayoría absoluta de las acciones del grupo económico Banco de Guayaquil.</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También es importante definir el rol de su off shore más importante, el Banco de Guayaquil-Panamá, que en el año 2011 cambió su nombre a BANISI (CORPORACION MULTIBG S.A. 2011), porque es a partir de esta off shore, que el grupo se vincula a la globalización financiera de la economía y puede realizar inversiones por fuera de los marcos legales del Ecuador.</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Existe una argumentación jurídica y política en el sentido que: (i) Guillermo Lasso Mendoza, en tanto persona natural, no tiene relación alguna con fideicomisos internacionales creados, disueltos y vueltos a crear en paraísos fiscales por parte del grupo económico Banco de Guayaquil; (ii) que las decisiones de sus hijos emancipados (Art. 310 numeral 4 del Código Civil), no tienen nada que ver con la persona natural Guillermo Lasso Mendoza y que no lo afectan en absoluto; (iii) que Guillermo Lasso Mendoza como persona natural no tiene relación alguna con BANISI-Panamá; (iv) que Guillermo Lasso Mendoza, como persona natural, ha pagado de manera puntual sus impuestos y que es una</w:t>
      </w:r>
      <w:r w:rsidR="00677E33" w:rsidRPr="0067008A">
        <w:rPr>
          <w:rFonts w:ascii="Times New Roman" w:hAnsi="Times New Roman" w:cs="Times New Roman"/>
        </w:rPr>
        <w:t xml:space="preserve"> </w:t>
      </w:r>
      <w:r w:rsidRPr="0067008A">
        <w:rPr>
          <w:rFonts w:ascii="Times New Roman" w:hAnsi="Times New Roman" w:cs="Times New Roman"/>
        </w:rPr>
        <w:t>de las personas naturales que más ha pagado impuesto a la renta en el país.</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En el presente análisis, como ya se ha explicado, se toma en consideración al comportamiento de un grupo económico y sus decisiones económicas, dentro del marco jurídico que define la gobernanza de las empresas por acciones. </w:t>
      </w:r>
      <w:r w:rsidR="006411F2" w:rsidRPr="0067008A">
        <w:rPr>
          <w:rFonts w:ascii="Times New Roman" w:hAnsi="Times New Roman" w:cs="Times New Roman"/>
        </w:rPr>
        <w:t xml:space="preserve">El Presidente </w:t>
      </w:r>
      <w:r w:rsidRPr="0067008A">
        <w:rPr>
          <w:rFonts w:ascii="Times New Roman" w:hAnsi="Times New Roman" w:cs="Times New Roman"/>
        </w:rPr>
        <w:t>Guillermo Lasso Mendoza es el principal del Fideicomiso de Administración Mercantil GLM</w:t>
      </w:r>
      <w:r w:rsidR="006411F2" w:rsidRPr="0067008A">
        <w:rPr>
          <w:rFonts w:ascii="Times New Roman" w:hAnsi="Times New Roman" w:cs="Times New Roman"/>
        </w:rPr>
        <w:t xml:space="preserve"> </w:t>
      </w:r>
      <w:r w:rsidRPr="0067008A">
        <w:rPr>
          <w:rFonts w:ascii="Times New Roman" w:hAnsi="Times New Roman" w:cs="Times New Roman"/>
        </w:rPr>
        <w:t xml:space="preserve"> propietario</w:t>
      </w:r>
      <w:r w:rsidR="006411F2" w:rsidRPr="0067008A">
        <w:rPr>
          <w:rFonts w:ascii="Times New Roman" w:hAnsi="Times New Roman" w:cs="Times New Roman"/>
        </w:rPr>
        <w:t xml:space="preserve"> a título personal </w:t>
      </w:r>
      <w:r w:rsidRPr="0067008A">
        <w:rPr>
          <w:rFonts w:ascii="Times New Roman" w:hAnsi="Times New Roman" w:cs="Times New Roman"/>
        </w:rPr>
        <w:t>de más del 40% de las acciones de la Corporación MULTIBG S.A., y si se suman sus hermanos Carlos y María Eugenia, más sus dos hijos, Guillermo Enrique y Juan Emilio, su control accionario es de cerca del 95% de las acciones de la corporación antes señalada. En consecuencia, el grupo económico Banco de Guayaquil es básicamente un grupo familiar, que tiene como cabeza al principal del grupo, Guillermo Lasso Mendoza.</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Es decir, cuando se analiza el comportamiento de un grupo económico, sus decisiones dependen de la estructura de propiedad de las acciones. Por lo tanto, todas las decisiones del grupo, que incluyen sus inversiones en el exterior, incluso en paraísos fiscales, necesariamente pasan por la supervisión y aprobación de su mayor accionista, esto es, Guillermo Lasso Mendoza, en el supuesto que sea una parte pasiva de esas decisiones, pero es de suponer más bien que sea él la parte activa, es decir, quien haya tomado las decisiones de inversión y especulación de los ingresos del grupo económico, que incluye las inversiones en paraísos fiscales. </w:t>
      </w:r>
    </w:p>
    <w:p w:rsidR="006A4D59" w:rsidRPr="0067008A" w:rsidRDefault="00921711" w:rsidP="006411F2">
      <w:pPr>
        <w:spacing w:after="240" w:line="360" w:lineRule="auto"/>
        <w:jc w:val="both"/>
        <w:rPr>
          <w:rFonts w:ascii="Times New Roman" w:hAnsi="Times New Roman" w:cs="Times New Roman"/>
        </w:rPr>
      </w:pPr>
      <w:r w:rsidRPr="0067008A">
        <w:rPr>
          <w:rFonts w:ascii="Times New Roman" w:hAnsi="Times New Roman" w:cs="Times New Roman"/>
        </w:rPr>
        <w:t>Es la estructura mercantil de las empresas, sus decisiones y su gobernanza, que además está legalizado, avalado y legitimado por las leyes respectivas y los acuerdos internacionales de inversión respectivos, la que implican de manera directa al principal accionista del grupo económico en todas las decisiones del grupo económico Banco de Guayaquil, que incluyen, por supuesto, sus inversiones en el exterior, sus inversiones en el país, y su comportamiento tributario</w:t>
      </w:r>
      <w:r w:rsidR="006411F2" w:rsidRPr="0067008A">
        <w:rPr>
          <w:rFonts w:ascii="Times New Roman" w:hAnsi="Times New Roman" w:cs="Times New Roman"/>
        </w:rPr>
        <w:t>.</w:t>
      </w:r>
    </w:p>
    <w:p w:rsidR="006A4D59" w:rsidRPr="0067008A" w:rsidRDefault="00921711" w:rsidP="00677E33">
      <w:pPr>
        <w:spacing w:after="240" w:line="360" w:lineRule="auto"/>
        <w:rPr>
          <w:rFonts w:ascii="Times New Roman" w:hAnsi="Times New Roman" w:cs="Times New Roman"/>
          <w:b/>
        </w:rPr>
      </w:pPr>
      <w:r w:rsidRPr="0067008A">
        <w:rPr>
          <w:rFonts w:ascii="Times New Roman" w:hAnsi="Times New Roman" w:cs="Times New Roman"/>
          <w:b/>
        </w:rPr>
        <w:t>Descripción General</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El Sr. Guillermo Lasso Mendoza es el principal accionista de la </w:t>
      </w:r>
      <w:r w:rsidRPr="0067008A">
        <w:rPr>
          <w:rFonts w:ascii="Times New Roman" w:hAnsi="Times New Roman" w:cs="Times New Roman"/>
          <w:b/>
        </w:rPr>
        <w:t>CORPORACIÓN MULTIBG S.A</w:t>
      </w:r>
      <w:r w:rsidRPr="0067008A">
        <w:rPr>
          <w:rFonts w:ascii="Times New Roman" w:hAnsi="Times New Roman" w:cs="Times New Roman"/>
        </w:rPr>
        <w:t>., quien a su vez es la principal accionista del Banco de Guayaquil, que actúa como entidad de control sobre las otras empresas financieras del grupo económico. Su actividad principal es la intermediación financiera, bancaria, la administración de fideicomisos y la especulación financiera. Según datos del SRI, para el año 2019 el grupo económico Banco de Guayaquil, controla 62 empresas, entre ellas la más importante de todas, el Banco de Guayaquil y varios fideicomisos, para un total de ingresos de 601.164.310 USD, con activos para el grupo por 5.336.401.081 USD, y un patrimonio neto a 2019, por 794.433.226 USD. En el periodo 2012-2019, el grupo pagó 44,90 millones de USD como pago del impuesto a la salida de divisas, lo que significa que en ese periodo el grupo transfirió al exterior 898.058.800 USD (SRI 2021).</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En el siguiente gráfico puede apreciarse el comportamiento entre los ingresos económicos del grupo Banco de Guayaquil y el pago del impuesto a la renta para el periodo 2008-2019, con datos del SRI:</w:t>
      </w:r>
    </w:p>
    <w:p w:rsidR="006A4D59" w:rsidRPr="0067008A" w:rsidRDefault="00921711" w:rsidP="00677E33">
      <w:pPr>
        <w:pStyle w:val="Descripcin"/>
        <w:spacing w:after="240" w:line="360" w:lineRule="auto"/>
        <w:rPr>
          <w:rFonts w:ascii="Times New Roman" w:hAnsi="Times New Roman" w:cs="Times New Roman"/>
          <w:sz w:val="22"/>
          <w:szCs w:val="22"/>
        </w:rPr>
      </w:pPr>
      <w:r w:rsidRPr="0067008A">
        <w:rPr>
          <w:rFonts w:ascii="Times New Roman" w:hAnsi="Times New Roman" w:cs="Times New Roman"/>
          <w:sz w:val="22"/>
          <w:szCs w:val="22"/>
        </w:rPr>
        <w:t xml:space="preserve">Ilustración </w:t>
      </w:r>
      <w:r w:rsidRPr="0067008A">
        <w:rPr>
          <w:rFonts w:ascii="Times New Roman" w:hAnsi="Times New Roman" w:cs="Times New Roman"/>
          <w:sz w:val="22"/>
          <w:szCs w:val="22"/>
        </w:rPr>
        <w:fldChar w:fldCharType="begin"/>
      </w:r>
      <w:r w:rsidRPr="0067008A">
        <w:rPr>
          <w:rFonts w:ascii="Times New Roman" w:hAnsi="Times New Roman" w:cs="Times New Roman"/>
          <w:sz w:val="22"/>
          <w:szCs w:val="22"/>
        </w:rPr>
        <w:instrText>SEQ Ilustración \* ARABIC</w:instrText>
      </w:r>
      <w:r w:rsidRPr="0067008A">
        <w:rPr>
          <w:rFonts w:ascii="Times New Roman" w:hAnsi="Times New Roman" w:cs="Times New Roman"/>
          <w:sz w:val="22"/>
          <w:szCs w:val="22"/>
        </w:rPr>
        <w:fldChar w:fldCharType="separate"/>
      </w:r>
      <w:r w:rsidR="0029216E" w:rsidRPr="0067008A">
        <w:rPr>
          <w:rFonts w:ascii="Times New Roman" w:hAnsi="Times New Roman" w:cs="Times New Roman"/>
          <w:noProof/>
          <w:sz w:val="22"/>
          <w:szCs w:val="22"/>
        </w:rPr>
        <w:t>1</w:t>
      </w:r>
      <w:r w:rsidRPr="0067008A">
        <w:rPr>
          <w:rFonts w:ascii="Times New Roman" w:hAnsi="Times New Roman" w:cs="Times New Roman"/>
          <w:sz w:val="22"/>
          <w:szCs w:val="22"/>
        </w:rPr>
        <w:fldChar w:fldCharType="end"/>
      </w:r>
      <w:r w:rsidRPr="0067008A">
        <w:rPr>
          <w:rFonts w:ascii="Times New Roman" w:hAnsi="Times New Roman" w:cs="Times New Roman"/>
          <w:sz w:val="22"/>
          <w:szCs w:val="22"/>
        </w:rPr>
        <w:t xml:space="preserve"> Tendencia entre los ingresos totales del grupo económico Banco de Guayaquil y el pago del impuesto a la renta, periodo 2008-2019, en USD</w:t>
      </w:r>
    </w:p>
    <w:p w:rsidR="006A4D59" w:rsidRPr="0067008A" w:rsidRDefault="001A2FF9" w:rsidP="00677E33">
      <w:pPr>
        <w:spacing w:after="240" w:line="360" w:lineRule="auto"/>
        <w:jc w:val="both"/>
        <w:rPr>
          <w:rFonts w:ascii="Times New Roman" w:hAnsi="Times New Roman" w:cs="Times New Roman"/>
        </w:rPr>
      </w:pPr>
      <w:r w:rsidRPr="00CC67C2">
        <w:rPr>
          <w:rFonts w:ascii="Times New Roman" w:hAnsi="Times New Roman" w:cs="Times New Roman"/>
          <w:noProof/>
        </w:rPr>
        <w:drawing>
          <wp:inline distT="0" distB="0" distL="0" distR="0">
            <wp:extent cx="4572000" cy="3160395"/>
            <wp:effectExtent l="0" t="0" r="0" b="0"/>
            <wp:docPr id="10" name="Gráfico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9"/>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3160395"/>
                    </a:xfrm>
                    <a:prstGeom prst="rect">
                      <a:avLst/>
                    </a:prstGeom>
                    <a:noFill/>
                    <a:ln>
                      <a:noFill/>
                    </a:ln>
                  </pic:spPr>
                </pic:pic>
              </a:graphicData>
            </a:graphic>
          </wp:inline>
        </w:drawing>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Fuente: (SRI 2021)</w:t>
      </w:r>
    </w:p>
    <w:p w:rsidR="006A4D59" w:rsidRPr="0067008A" w:rsidRDefault="006A4D59" w:rsidP="00677E33">
      <w:pPr>
        <w:spacing w:after="240" w:line="360" w:lineRule="auto"/>
        <w:jc w:val="both"/>
        <w:rPr>
          <w:rFonts w:ascii="Times New Roman" w:hAnsi="Times New Roman" w:cs="Times New Roman"/>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En el gráfico anterior se visualiza que el crecimiento de los ingresos del grupo tiene tendencia a incrementarse, mientras que su comportamiento tributario tiende a ser plano. Esto da cuenta que el grupo prioriza su crecimiento antes que sus responsabilidades fiscales. Mientras más crecen sus ingresos, su pago de impuestos directos tiende a ser plano y se genera una brecha que tiende a crecer en el tiempo entre los ingresos generados por el grupo económico Banco de Guayaquil y su responsabilidades fiscales. Esta información contradice las afirmaciones que este grupo es uno de los que más ha pagado impuestos directos.</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Puede también verse que los ingresos del grupo aumentan súbitamente a partir del año 2017 y se acentúan en el año 2018, lo que puede explicarse por las políticas de liberalización financiera asumidas por el gobierno de ese entonces. Esas políticas que se fundamentaban en la liberalización y la desregulación del sistema financiero posibilitaron el crecimiento de los ingresos de este grupo económico, en un contexto de débil responsabilidad tributaria.</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Este mismo comportamiento puede apreciarse en el siguiente gráfico que compara los ingresos del grupo con respecto al pago del impuesto a la renta para el periodo 2008-2019, con datos del SRI:</w:t>
      </w:r>
    </w:p>
    <w:p w:rsidR="006A4D59" w:rsidRPr="0067008A" w:rsidRDefault="00921711" w:rsidP="00677E33">
      <w:pPr>
        <w:pStyle w:val="Descripcin"/>
        <w:spacing w:after="240" w:line="360" w:lineRule="auto"/>
        <w:rPr>
          <w:rFonts w:ascii="Times New Roman" w:hAnsi="Times New Roman" w:cs="Times New Roman"/>
          <w:sz w:val="22"/>
          <w:szCs w:val="22"/>
        </w:rPr>
      </w:pPr>
      <w:r w:rsidRPr="0067008A">
        <w:rPr>
          <w:rFonts w:ascii="Times New Roman" w:hAnsi="Times New Roman" w:cs="Times New Roman"/>
          <w:sz w:val="22"/>
          <w:szCs w:val="22"/>
        </w:rPr>
        <w:t xml:space="preserve">Ilustración </w:t>
      </w:r>
      <w:r w:rsidRPr="0067008A">
        <w:rPr>
          <w:rFonts w:ascii="Times New Roman" w:hAnsi="Times New Roman" w:cs="Times New Roman"/>
          <w:sz w:val="22"/>
          <w:szCs w:val="22"/>
        </w:rPr>
        <w:fldChar w:fldCharType="begin"/>
      </w:r>
      <w:r w:rsidRPr="0067008A">
        <w:rPr>
          <w:rFonts w:ascii="Times New Roman" w:hAnsi="Times New Roman" w:cs="Times New Roman"/>
          <w:sz w:val="22"/>
          <w:szCs w:val="22"/>
        </w:rPr>
        <w:instrText>SEQ Ilustración \* ARABIC</w:instrText>
      </w:r>
      <w:r w:rsidRPr="0067008A">
        <w:rPr>
          <w:rFonts w:ascii="Times New Roman" w:hAnsi="Times New Roman" w:cs="Times New Roman"/>
          <w:sz w:val="22"/>
          <w:szCs w:val="22"/>
        </w:rPr>
        <w:fldChar w:fldCharType="separate"/>
      </w:r>
      <w:r w:rsidR="0029216E" w:rsidRPr="0067008A">
        <w:rPr>
          <w:rFonts w:ascii="Times New Roman" w:hAnsi="Times New Roman" w:cs="Times New Roman"/>
          <w:noProof/>
          <w:sz w:val="22"/>
          <w:szCs w:val="22"/>
        </w:rPr>
        <w:t>2</w:t>
      </w:r>
      <w:r w:rsidRPr="0067008A">
        <w:rPr>
          <w:rFonts w:ascii="Times New Roman" w:hAnsi="Times New Roman" w:cs="Times New Roman"/>
          <w:sz w:val="22"/>
          <w:szCs w:val="22"/>
        </w:rPr>
        <w:fldChar w:fldCharType="end"/>
      </w:r>
      <w:r w:rsidRPr="0067008A">
        <w:rPr>
          <w:rFonts w:ascii="Times New Roman" w:hAnsi="Times New Roman" w:cs="Times New Roman"/>
          <w:sz w:val="22"/>
          <w:szCs w:val="22"/>
        </w:rPr>
        <w:t xml:space="preserve"> Comparativo del volumen de ingresos del grupo económico Banco de Guayaquil versus el pago del impuesto a la renta, 2008-2019, en USD</w:t>
      </w:r>
    </w:p>
    <w:p w:rsidR="006A4D59" w:rsidRPr="0067008A" w:rsidRDefault="001A2FF9" w:rsidP="00677E33">
      <w:pPr>
        <w:spacing w:after="240" w:line="360" w:lineRule="auto"/>
        <w:jc w:val="both"/>
        <w:rPr>
          <w:rFonts w:ascii="Times New Roman" w:hAnsi="Times New Roman" w:cs="Times New Roman"/>
        </w:rPr>
      </w:pPr>
      <w:r w:rsidRPr="00CC67C2">
        <w:rPr>
          <w:rFonts w:ascii="Times New Roman" w:hAnsi="Times New Roman" w:cs="Times New Roman"/>
          <w:noProof/>
        </w:rPr>
        <w:drawing>
          <wp:inline distT="0" distB="0" distL="0" distR="0">
            <wp:extent cx="4572000" cy="2754630"/>
            <wp:effectExtent l="0" t="0" r="0" b="0"/>
            <wp:docPr id="11" name="Gráfico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0"/>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2754630"/>
                    </a:xfrm>
                    <a:prstGeom prst="rect">
                      <a:avLst/>
                    </a:prstGeom>
                    <a:noFill/>
                    <a:ln>
                      <a:noFill/>
                    </a:ln>
                  </pic:spPr>
                </pic:pic>
              </a:graphicData>
            </a:graphic>
          </wp:inline>
        </w:drawing>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Fuente: (SRI 2021)</w:t>
      </w:r>
    </w:p>
    <w:p w:rsidR="006A4D59" w:rsidRPr="0067008A" w:rsidRDefault="006A4D59" w:rsidP="00677E33">
      <w:pPr>
        <w:spacing w:after="240" w:line="360" w:lineRule="auto"/>
        <w:jc w:val="both"/>
        <w:rPr>
          <w:rFonts w:ascii="Times New Roman" w:hAnsi="Times New Roman" w:cs="Times New Roman"/>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En el gráfico anterior se puede evidenciar la enorme brecha que existe entre los ingresos del grupo económico Banco de Guayaquil y el pago del impuesto a la renta. Este gráfico desmiente una afirmación que el grupo económico Banco de Guayaquil es uno de los grupos económicos que más pagan impuestos. En realidad, es uno de los grupos económicos que menos pagan impuestos directos. Si hacemos un comparativo entre los valores agregados de ingresos del grupo e impuesto a la renta, para todo el periodo 2008-2019, tenemos el siguiente gráfico:</w:t>
      </w:r>
    </w:p>
    <w:p w:rsidR="006A4D59" w:rsidRPr="0067008A" w:rsidRDefault="006A4D59" w:rsidP="00677E33">
      <w:pPr>
        <w:spacing w:after="240" w:line="360" w:lineRule="auto"/>
        <w:jc w:val="both"/>
        <w:rPr>
          <w:rFonts w:ascii="Times New Roman" w:hAnsi="Times New Roman" w:cs="Times New Roman"/>
        </w:rPr>
      </w:pPr>
    </w:p>
    <w:p w:rsidR="006A4D59" w:rsidRPr="0067008A" w:rsidRDefault="00921711" w:rsidP="00677E33">
      <w:pPr>
        <w:pStyle w:val="Descripcin"/>
        <w:spacing w:after="240" w:line="360" w:lineRule="auto"/>
        <w:rPr>
          <w:rFonts w:ascii="Times New Roman" w:hAnsi="Times New Roman" w:cs="Times New Roman"/>
          <w:sz w:val="22"/>
          <w:szCs w:val="22"/>
        </w:rPr>
      </w:pPr>
      <w:r w:rsidRPr="0067008A">
        <w:rPr>
          <w:rFonts w:ascii="Times New Roman" w:hAnsi="Times New Roman" w:cs="Times New Roman"/>
          <w:sz w:val="22"/>
          <w:szCs w:val="22"/>
        </w:rPr>
        <w:t xml:space="preserve">Ilustración </w:t>
      </w:r>
      <w:r w:rsidRPr="0067008A">
        <w:rPr>
          <w:rFonts w:ascii="Times New Roman" w:hAnsi="Times New Roman" w:cs="Times New Roman"/>
          <w:sz w:val="22"/>
          <w:szCs w:val="22"/>
        </w:rPr>
        <w:fldChar w:fldCharType="begin"/>
      </w:r>
      <w:r w:rsidRPr="0067008A">
        <w:rPr>
          <w:rFonts w:ascii="Times New Roman" w:hAnsi="Times New Roman" w:cs="Times New Roman"/>
          <w:sz w:val="22"/>
          <w:szCs w:val="22"/>
        </w:rPr>
        <w:instrText>SEQ Ilustración \* ARABIC</w:instrText>
      </w:r>
      <w:r w:rsidRPr="0067008A">
        <w:rPr>
          <w:rFonts w:ascii="Times New Roman" w:hAnsi="Times New Roman" w:cs="Times New Roman"/>
          <w:sz w:val="22"/>
          <w:szCs w:val="22"/>
        </w:rPr>
        <w:fldChar w:fldCharType="separate"/>
      </w:r>
      <w:r w:rsidR="0029216E" w:rsidRPr="0067008A">
        <w:rPr>
          <w:rFonts w:ascii="Times New Roman" w:hAnsi="Times New Roman" w:cs="Times New Roman"/>
          <w:noProof/>
          <w:sz w:val="22"/>
          <w:szCs w:val="22"/>
        </w:rPr>
        <w:t>3</w:t>
      </w:r>
      <w:r w:rsidRPr="0067008A">
        <w:rPr>
          <w:rFonts w:ascii="Times New Roman" w:hAnsi="Times New Roman" w:cs="Times New Roman"/>
          <w:sz w:val="22"/>
          <w:szCs w:val="22"/>
        </w:rPr>
        <w:fldChar w:fldCharType="end"/>
      </w:r>
      <w:r w:rsidRPr="0067008A">
        <w:rPr>
          <w:rFonts w:ascii="Times New Roman" w:hAnsi="Times New Roman" w:cs="Times New Roman"/>
          <w:sz w:val="22"/>
          <w:szCs w:val="22"/>
        </w:rPr>
        <w:t xml:space="preserve"> Comparativo del volumen agregado de ingreso del grupo económico Banco de Guayaquil, versus el agregado en pago de impuesto a la renta, periodo 2008-2019, en USD</w:t>
      </w:r>
    </w:p>
    <w:p w:rsidR="006A4D59" w:rsidRPr="0067008A" w:rsidRDefault="001A2FF9" w:rsidP="00677E33">
      <w:pPr>
        <w:spacing w:after="240" w:line="360" w:lineRule="auto"/>
        <w:jc w:val="both"/>
        <w:rPr>
          <w:rFonts w:ascii="Times New Roman" w:hAnsi="Times New Roman" w:cs="Times New Roman"/>
        </w:rPr>
      </w:pPr>
      <w:r w:rsidRPr="00CC67C2">
        <w:rPr>
          <w:rFonts w:ascii="Times New Roman" w:hAnsi="Times New Roman" w:cs="Times New Roman"/>
          <w:noProof/>
        </w:rPr>
        <w:drawing>
          <wp:inline distT="0" distB="0" distL="0" distR="0">
            <wp:extent cx="4572000" cy="2754630"/>
            <wp:effectExtent l="0" t="0" r="0" b="0"/>
            <wp:docPr id="12" name="Gráfico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1"/>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2754630"/>
                    </a:xfrm>
                    <a:prstGeom prst="rect">
                      <a:avLst/>
                    </a:prstGeom>
                    <a:noFill/>
                    <a:ln>
                      <a:noFill/>
                    </a:ln>
                  </pic:spPr>
                </pic:pic>
              </a:graphicData>
            </a:graphic>
          </wp:inline>
        </w:drawing>
      </w:r>
    </w:p>
    <w:p w:rsidR="006A4D59" w:rsidRPr="0067008A" w:rsidRDefault="00921711" w:rsidP="00677E33">
      <w:pPr>
        <w:spacing w:after="240" w:line="360" w:lineRule="auto"/>
        <w:rPr>
          <w:rFonts w:ascii="Times New Roman" w:hAnsi="Times New Roman" w:cs="Times New Roman"/>
        </w:rPr>
      </w:pPr>
      <w:r w:rsidRPr="0067008A">
        <w:rPr>
          <w:rFonts w:ascii="Times New Roman" w:hAnsi="Times New Roman" w:cs="Times New Roman"/>
        </w:rPr>
        <w:t>Fuente: (SRI 2021)</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En el periodo 2008-2019, el grupo económico Banco de Guayaquil tuvo ingresos acumulados por 5.091 millones de dólares, y solamente pagó 170 millones de dólares en impuesto a la renta. Su promedio de pago de impuesto a la renta fue del 3,3% para cada año y para todas las actividades económicas de este grupo económico. Como puede apreciarse, los datos desmienten la afirmación que el grupo económico Banco de Guayaquil es uno de los que más impuestos directos ha pagado en el país. Se analizará con mayor detenimiento el comportamiento tributario de este grupo más adelante.</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El grupo económico Banco de Guayaquil tiene una sociedad matriz que controla todas sus empresas, la Corporación MULTIBG S.A.:</w:t>
      </w:r>
    </w:p>
    <w:p w:rsidR="006A4D59" w:rsidRPr="0067008A" w:rsidRDefault="001A2FF9" w:rsidP="00677E33">
      <w:pPr>
        <w:spacing w:after="240" w:line="360" w:lineRule="auto"/>
        <w:jc w:val="both"/>
        <w:rPr>
          <w:rFonts w:ascii="Times New Roman" w:hAnsi="Times New Roman" w:cs="Times New Roman"/>
        </w:rPr>
      </w:pPr>
      <w:r>
        <w:rPr>
          <w:noProof/>
        </w:rPr>
        <mc:AlternateContent>
          <mc:Choice Requires="wps">
            <w:drawing>
              <wp:anchor distT="0" distB="0" distL="114300" distR="114300" simplePos="0" relativeHeight="251657216" behindDoc="0" locked="0" layoutInCell="1" allowOverlap="1">
                <wp:simplePos x="0" y="0"/>
                <wp:positionH relativeFrom="column">
                  <wp:posOffset>1143000</wp:posOffset>
                </wp:positionH>
                <wp:positionV relativeFrom="paragraph">
                  <wp:posOffset>163830</wp:posOffset>
                </wp:positionV>
                <wp:extent cx="2629535" cy="457835"/>
                <wp:effectExtent l="0" t="0" r="0" b="0"/>
                <wp:wrapSquare wrapText="bothSides"/>
                <wp:docPr id="25"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9535" cy="457835"/>
                        </a:xfrm>
                        <a:prstGeom prst="rect">
                          <a:avLst/>
                        </a:prstGeom>
                        <a:noFill/>
                        <a:ln>
                          <a:noFill/>
                        </a:ln>
                        <a:effectLst/>
                      </wps:spPr>
                      <wps:txbx>
                        <w:txbxContent>
                          <w:p w:rsidR="00807CD2" w:rsidRDefault="00807CD2">
                            <w:pPr>
                              <w:pStyle w:val="Contenidodelmarco"/>
                              <w:pBdr>
                                <w:top w:val="single" w:sz="4" w:space="1" w:color="000000"/>
                                <w:left w:val="single" w:sz="4" w:space="4" w:color="000000"/>
                                <w:bottom w:val="single" w:sz="4" w:space="1" w:color="000000"/>
                                <w:right w:val="single" w:sz="4" w:space="4" w:color="000000"/>
                              </w:pBdr>
                              <w:spacing w:before="120"/>
                              <w:jc w:val="center"/>
                              <w:rPr>
                                <w:color w:val="000000"/>
                              </w:rPr>
                            </w:pPr>
                            <w:r w:rsidRPr="00CC67C2">
                              <w:rPr>
                                <w:rFonts w:ascii="Cambria" w:hAnsi="Cambria"/>
                                <w:b/>
                                <w:color w:val="000000"/>
                                <w:sz w:val="24"/>
                                <w:szCs w:val="24"/>
                              </w:rPr>
                              <w:t>CORPORACIÓN MULTIBG S.A.</w:t>
                            </w:r>
                          </w:p>
                        </w:txbxContent>
                      </wps:txbx>
                      <wps:bodyP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Cuadro de texto 11" o:spid="_x0000_s1026" style="position:absolute;left:0;text-align:left;margin-left:90pt;margin-top:12.9pt;width:207.05pt;height:36.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" filled="f" stroked="f">
                <v:textbox>
                  <w:txbxContent>
                    <w:p w:rsidR="00807CD2" w:rsidRDefault="00807CD2">
                      <w:pPr>
                        <w:pStyle w:val="Contenidodelmarco"/>
                        <w:pBdr>
                          <w:top w:val="single" w:sz="4" w:space="1" w:color="000000"/>
                          <w:left w:val="single" w:sz="4" w:space="4" w:color="000000"/>
                          <w:bottom w:val="single" w:sz="4" w:space="1" w:color="000000"/>
                          <w:right w:val="single" w:sz="4" w:space="4" w:color="000000"/>
                        </w:pBdr>
                        <w:spacing w:before="120"/>
                        <w:jc w:val="center"/>
                        <w:rPr>
                          <w:color w:val="000000"/>
                        </w:rPr>
                      </w:pPr>
                      <w:r w:rsidRPr="00CC67C2">
                        <w:rPr>
                          <w:rFonts w:ascii="Cambria" w:hAnsi="Cambria"/>
                          <w:b/>
                          <w:color w:val="000000"/>
                          <w:sz w:val="24"/>
                          <w:szCs w:val="24"/>
                        </w:rPr>
                        <w:t>CORPORACIÓN MULTIBG S.A.</w:t>
                      </w:r>
                    </w:p>
                  </w:txbxContent>
                </v:textbox>
                <w10:wrap type="square"/>
              </v:rect>
            </w:pict>
          </mc:Fallback>
        </mc:AlternateContent>
      </w:r>
    </w:p>
    <w:p w:rsidR="006A4D59" w:rsidRPr="0067008A" w:rsidRDefault="006A4D59" w:rsidP="00677E33">
      <w:pPr>
        <w:spacing w:after="240" w:line="360" w:lineRule="auto"/>
        <w:jc w:val="both"/>
        <w:rPr>
          <w:rFonts w:ascii="Times New Roman" w:hAnsi="Times New Roman" w:cs="Times New Roman"/>
        </w:rPr>
      </w:pPr>
    </w:p>
    <w:p w:rsidR="006A4D59" w:rsidRPr="0067008A" w:rsidRDefault="001A2FF9" w:rsidP="00677E33">
      <w:pPr>
        <w:spacing w:after="240" w:line="360" w:lineRule="auto"/>
        <w:jc w:val="both"/>
        <w:rPr>
          <w:rFonts w:ascii="Times New Roman" w:hAnsi="Times New Roman" w:cs="Times New Roman"/>
        </w:rPr>
      </w:pPr>
      <w:r>
        <w:rPr>
          <w:noProof/>
        </w:rPr>
        <mc:AlternateContent>
          <mc:Choice Requires="wps">
            <w:drawing>
              <wp:anchor distT="0" distB="0" distL="114300" distR="114300" simplePos="0" relativeHeight="251658240" behindDoc="0" locked="0" layoutInCell="1" allowOverlap="1">
                <wp:simplePos x="0" y="0"/>
                <wp:positionH relativeFrom="column">
                  <wp:posOffset>2715895</wp:posOffset>
                </wp:positionH>
                <wp:positionV relativeFrom="paragraph">
                  <wp:posOffset>-89535</wp:posOffset>
                </wp:positionV>
                <wp:extent cx="1270" cy="403860"/>
                <wp:effectExtent l="57150" t="19050" r="55880" b="72390"/>
                <wp:wrapNone/>
                <wp:docPr id="24" name="Conector rec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03860"/>
                        </a:xfrm>
                        <a:prstGeom prst="line">
                          <a:avLst/>
                        </a:prstGeom>
                        <a:noFill/>
                        <a:ln w="25400" cap="flat" cmpd="sng" algn="ctr">
                          <a:solidFill>
                            <a:sysClr val="windowText" lastClr="000000"/>
                          </a:solidFill>
                          <a:prstDash val="solid"/>
                          <a:roun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63D37341" id="Conector recto 1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85pt,-7.05pt" to="213.95pt,24.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" strokecolor="windowText" strokeweight="2pt">
                <v:shadow on="t" color="black" opacity="24903f" origin=",.5" offset="0,.55556mm"/>
                <o:lock v:ext="edit" shapetype="f"/>
              </v:line>
            </w:pict>
          </mc:Fallback>
        </mc:AlternateContent>
      </w:r>
    </w:p>
    <w:p w:rsidR="006A4D59" w:rsidRPr="0067008A" w:rsidRDefault="001A2FF9" w:rsidP="00677E33">
      <w:pPr>
        <w:spacing w:after="240" w:line="360" w:lineRule="auto"/>
        <w:jc w:val="both"/>
        <w:rPr>
          <w:rFonts w:ascii="Times New Roman" w:hAnsi="Times New Roman" w:cs="Times New Roman"/>
        </w:rPr>
      </w:pPr>
      <w:r w:rsidRPr="00CC67C2">
        <w:rPr>
          <w:rFonts w:ascii="Times New Roman" w:hAnsi="Times New Roman" w:cs="Times New Roman"/>
          <w:noProof/>
        </w:rPr>
        <w:drawing>
          <wp:inline distT="0" distB="0" distL="0" distR="0">
            <wp:extent cx="5398135" cy="1094740"/>
            <wp:effectExtent l="0" t="0" r="0" b="0"/>
            <wp:docPr id="13" name="Imagen 18" descr="Escala de tiemp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descr="Escala de tiempo&#10;&#10;Descripción generada automáticamente"/>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8135" cy="1094740"/>
                    </a:xfrm>
                    <a:prstGeom prst="rect">
                      <a:avLst/>
                    </a:prstGeom>
                    <a:noFill/>
                    <a:ln>
                      <a:noFill/>
                    </a:ln>
                  </pic:spPr>
                </pic:pic>
              </a:graphicData>
            </a:graphic>
          </wp:inline>
        </w:drawing>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(CORPORACION MULTIBG S.A. 2011)</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El grupo económico tiene inversiones internas que las canaliza a través del Banco de Guayaquil, e inversiones en el exterior, que las canaliza a través de su off shore BANISI.</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El Banco de Guayaquil es la empresa más importante del grupo económico, y que provee de toda la liquidez y todos sus excedentes al grupo económico. Representa más del 97% del total de sus inversiones nacionales.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El Banco de Guayaquil es uno de los bancos más grandes de todo el sistema financiero privado como consta en el siguiente gráfico:</w:t>
      </w:r>
    </w:p>
    <w:p w:rsidR="006A4D59" w:rsidRPr="0067008A" w:rsidRDefault="006A4D59" w:rsidP="00677E33">
      <w:pPr>
        <w:spacing w:after="240" w:line="360" w:lineRule="auto"/>
        <w:jc w:val="both"/>
        <w:rPr>
          <w:rFonts w:ascii="Times New Roman" w:hAnsi="Times New Roman" w:cs="Times New Roman"/>
        </w:rPr>
      </w:pPr>
    </w:p>
    <w:p w:rsidR="006A4D59" w:rsidRPr="0067008A" w:rsidRDefault="00921711" w:rsidP="00677E33">
      <w:pPr>
        <w:pStyle w:val="Descripcin"/>
        <w:spacing w:after="240" w:line="360" w:lineRule="auto"/>
        <w:rPr>
          <w:rFonts w:ascii="Times New Roman" w:hAnsi="Times New Roman" w:cs="Times New Roman"/>
          <w:sz w:val="22"/>
          <w:szCs w:val="22"/>
        </w:rPr>
      </w:pPr>
      <w:r w:rsidRPr="0067008A">
        <w:rPr>
          <w:rFonts w:ascii="Times New Roman" w:hAnsi="Times New Roman" w:cs="Times New Roman"/>
          <w:sz w:val="22"/>
          <w:szCs w:val="22"/>
        </w:rPr>
        <w:t xml:space="preserve">Ilustración </w:t>
      </w:r>
      <w:r w:rsidRPr="0067008A">
        <w:rPr>
          <w:rFonts w:ascii="Times New Roman" w:hAnsi="Times New Roman" w:cs="Times New Roman"/>
          <w:sz w:val="22"/>
          <w:szCs w:val="22"/>
        </w:rPr>
        <w:fldChar w:fldCharType="begin"/>
      </w:r>
      <w:r w:rsidRPr="0067008A">
        <w:rPr>
          <w:rFonts w:ascii="Times New Roman" w:hAnsi="Times New Roman" w:cs="Times New Roman"/>
          <w:sz w:val="22"/>
          <w:szCs w:val="22"/>
        </w:rPr>
        <w:instrText>SEQ Ilustración \* ARABIC</w:instrText>
      </w:r>
      <w:r w:rsidRPr="0067008A">
        <w:rPr>
          <w:rFonts w:ascii="Times New Roman" w:hAnsi="Times New Roman" w:cs="Times New Roman"/>
          <w:sz w:val="22"/>
          <w:szCs w:val="22"/>
        </w:rPr>
        <w:fldChar w:fldCharType="separate"/>
      </w:r>
      <w:r w:rsidR="0029216E" w:rsidRPr="0067008A">
        <w:rPr>
          <w:rFonts w:ascii="Times New Roman" w:hAnsi="Times New Roman" w:cs="Times New Roman"/>
          <w:noProof/>
          <w:sz w:val="22"/>
          <w:szCs w:val="22"/>
        </w:rPr>
        <w:t>4</w:t>
      </w:r>
      <w:r w:rsidRPr="0067008A">
        <w:rPr>
          <w:rFonts w:ascii="Times New Roman" w:hAnsi="Times New Roman" w:cs="Times New Roman"/>
          <w:sz w:val="22"/>
          <w:szCs w:val="22"/>
        </w:rPr>
        <w:fldChar w:fldCharType="end"/>
      </w:r>
      <w:r w:rsidRPr="0067008A">
        <w:rPr>
          <w:rFonts w:ascii="Times New Roman" w:hAnsi="Times New Roman" w:cs="Times New Roman"/>
          <w:sz w:val="22"/>
          <w:szCs w:val="22"/>
        </w:rPr>
        <w:t xml:space="preserve"> Comparativo de activos totales grandes bancos privados del Ecuador, a sept-2021, en USD</w:t>
      </w:r>
    </w:p>
    <w:p w:rsidR="006A4D59" w:rsidRPr="0067008A" w:rsidRDefault="001A2FF9" w:rsidP="00677E33">
      <w:pPr>
        <w:spacing w:after="240" w:line="360" w:lineRule="auto"/>
        <w:jc w:val="both"/>
        <w:rPr>
          <w:rFonts w:ascii="Times New Roman" w:hAnsi="Times New Roman" w:cs="Times New Roman"/>
        </w:rPr>
      </w:pPr>
      <w:r w:rsidRPr="00CC67C2">
        <w:rPr>
          <w:rFonts w:ascii="Times New Roman" w:hAnsi="Times New Roman" w:cs="Times New Roman"/>
          <w:noProof/>
        </w:rPr>
        <w:drawing>
          <wp:inline distT="0" distB="0" distL="0" distR="0">
            <wp:extent cx="4926330" cy="3148965"/>
            <wp:effectExtent l="0" t="0" r="0" b="0"/>
            <wp:docPr id="14" name="Gráfico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6"/>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26330" cy="3148965"/>
                    </a:xfrm>
                    <a:prstGeom prst="rect">
                      <a:avLst/>
                    </a:prstGeom>
                    <a:noFill/>
                    <a:ln>
                      <a:noFill/>
                    </a:ln>
                  </pic:spPr>
                </pic:pic>
              </a:graphicData>
            </a:graphic>
          </wp:inline>
        </w:drawing>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Fuente: (Superintendencia de Bancos 2021)</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Como puede apreciarse del gráfico anterior, el Banco de Guayaquil es el tercer mayor banco privado del país, con activos por más de 6,06 mil millones de dólares, solamente es superado por el Banco del Pichincha y el Banco del Pacífico que, además, es público.</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El Banco de Guayaquil, a septiembre de 2021 tenía 1.408.215 cuentas activas, y 1.374.506 clientes. La estructura geográfica del Banco de Guayaquil, por sus clientes, es la siguiente: el 1,33% están en la región Amazónica, el 69,02% están en la costa, y el 29,65% están en la sierra. La ciudad de Guayaquil representa el 37,78% de todos sus clientes a nivel nacional y el 54,74% de sus clientes de la región costa. La ciudad de Quito representa el 16,50% de sus clientes a nivel nacional, y el 55,67% de sus clientes de la región sierra. Si se suman los clientes de Quito y Guayaquil, representan el 54,28% de todos sus clientes (Superintendencia de Bancos 2021). En consecuencia, el Banco de Guayaquil es, básicamente, un banco urbano con fuerte presencia en las dos principales ciudades del país, y en el cual dos tercios de sus clientes provienen de la región de la costa ecuatoriana.</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En el siguiente gráfico puede apreciarse el comportamiento de la cartera de créditos del Banco de Guayaquil:</w:t>
      </w:r>
    </w:p>
    <w:p w:rsidR="006A4D59" w:rsidRPr="0067008A" w:rsidRDefault="00921711" w:rsidP="00677E33">
      <w:pPr>
        <w:pStyle w:val="Descripcin"/>
        <w:spacing w:after="240" w:line="360" w:lineRule="auto"/>
        <w:rPr>
          <w:rFonts w:ascii="Times New Roman" w:hAnsi="Times New Roman" w:cs="Times New Roman"/>
          <w:sz w:val="22"/>
          <w:szCs w:val="22"/>
        </w:rPr>
      </w:pPr>
      <w:r w:rsidRPr="0067008A">
        <w:rPr>
          <w:rFonts w:ascii="Times New Roman" w:hAnsi="Times New Roman" w:cs="Times New Roman"/>
          <w:sz w:val="22"/>
          <w:szCs w:val="22"/>
        </w:rPr>
        <w:t xml:space="preserve">Ilustración </w:t>
      </w:r>
      <w:r w:rsidRPr="0067008A">
        <w:rPr>
          <w:rFonts w:ascii="Times New Roman" w:hAnsi="Times New Roman" w:cs="Times New Roman"/>
          <w:sz w:val="22"/>
          <w:szCs w:val="22"/>
        </w:rPr>
        <w:fldChar w:fldCharType="begin"/>
      </w:r>
      <w:r w:rsidRPr="0067008A">
        <w:rPr>
          <w:rFonts w:ascii="Times New Roman" w:hAnsi="Times New Roman" w:cs="Times New Roman"/>
          <w:sz w:val="22"/>
          <w:szCs w:val="22"/>
        </w:rPr>
        <w:instrText>SEQ Ilustración \* ARABIC</w:instrText>
      </w:r>
      <w:r w:rsidRPr="0067008A">
        <w:rPr>
          <w:rFonts w:ascii="Times New Roman" w:hAnsi="Times New Roman" w:cs="Times New Roman"/>
          <w:sz w:val="22"/>
          <w:szCs w:val="22"/>
        </w:rPr>
        <w:fldChar w:fldCharType="separate"/>
      </w:r>
      <w:r w:rsidR="0029216E" w:rsidRPr="0067008A">
        <w:rPr>
          <w:rFonts w:ascii="Times New Roman" w:hAnsi="Times New Roman" w:cs="Times New Roman"/>
          <w:noProof/>
          <w:sz w:val="22"/>
          <w:szCs w:val="22"/>
        </w:rPr>
        <w:t>5</w:t>
      </w:r>
      <w:r w:rsidRPr="0067008A">
        <w:rPr>
          <w:rFonts w:ascii="Times New Roman" w:hAnsi="Times New Roman" w:cs="Times New Roman"/>
          <w:sz w:val="22"/>
          <w:szCs w:val="22"/>
        </w:rPr>
        <w:fldChar w:fldCharType="end"/>
      </w:r>
      <w:r w:rsidRPr="0067008A">
        <w:rPr>
          <w:rFonts w:ascii="Times New Roman" w:hAnsi="Times New Roman" w:cs="Times New Roman"/>
          <w:sz w:val="22"/>
          <w:szCs w:val="22"/>
        </w:rPr>
        <w:t xml:space="preserve"> Composición porcentual de la cartera de créditos del Banco de Guayaquil, sept-2021, en USD</w:t>
      </w:r>
    </w:p>
    <w:p w:rsidR="006A4D59" w:rsidRPr="0067008A" w:rsidRDefault="001A2FF9" w:rsidP="00677E33">
      <w:pPr>
        <w:spacing w:after="240" w:line="360" w:lineRule="auto"/>
        <w:jc w:val="both"/>
        <w:rPr>
          <w:rFonts w:ascii="Times New Roman" w:hAnsi="Times New Roman" w:cs="Times New Roman"/>
        </w:rPr>
      </w:pPr>
      <w:r w:rsidRPr="00CC67C2">
        <w:rPr>
          <w:rFonts w:ascii="Times New Roman" w:hAnsi="Times New Roman" w:cs="Times New Roman"/>
          <w:noProof/>
        </w:rPr>
        <w:drawing>
          <wp:inline distT="0" distB="0" distL="0" distR="0">
            <wp:extent cx="5394960" cy="2603500"/>
            <wp:effectExtent l="0" t="0" r="0" b="0"/>
            <wp:docPr id="15" name="Gráfico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7"/>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4960" cy="2603500"/>
                    </a:xfrm>
                    <a:prstGeom prst="rect">
                      <a:avLst/>
                    </a:prstGeom>
                    <a:noFill/>
                    <a:ln>
                      <a:noFill/>
                    </a:ln>
                  </pic:spPr>
                </pic:pic>
              </a:graphicData>
            </a:graphic>
          </wp:inline>
        </w:drawing>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Fuente: (Superintendencia de Bancos 2021)</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El mayor porcentaje de crédito es productivo con 53,78% de la cartera total de créditos, seguido del crédito al consumo con 39,32%. El Banco de Guayaquil no tiene mucha cobertura en microcrédito, su cartera en ese sector es muy pequeña, el 5,93%, y en el sector inmobiliario, que comprende el crédito hipotecario, llega su cartera al 5,60%. El Banco de Guayaquil casi no tiene cartera en crédito educativo que solo llega al 0,07% (Superintendencia de Bancos 2021).</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De enero de 2015 a septiembre de 2021, el Banco de Guayaquil generó utilidades para el grupo económico por 1.976.494.000 USD (SRI 2021), que se reparten de la siguiente manera:</w:t>
      </w:r>
    </w:p>
    <w:p w:rsidR="006A4D59" w:rsidRPr="0067008A" w:rsidRDefault="00921711" w:rsidP="00677E33">
      <w:pPr>
        <w:pStyle w:val="Descripcin"/>
        <w:spacing w:after="240" w:line="360" w:lineRule="auto"/>
        <w:rPr>
          <w:rFonts w:ascii="Times New Roman" w:hAnsi="Times New Roman" w:cs="Times New Roman"/>
          <w:sz w:val="22"/>
          <w:szCs w:val="22"/>
        </w:rPr>
      </w:pPr>
      <w:r w:rsidRPr="0067008A">
        <w:rPr>
          <w:rFonts w:ascii="Times New Roman" w:hAnsi="Times New Roman" w:cs="Times New Roman"/>
          <w:sz w:val="22"/>
          <w:szCs w:val="22"/>
        </w:rPr>
        <w:t xml:space="preserve">Ilustración </w:t>
      </w:r>
      <w:r w:rsidRPr="0067008A">
        <w:rPr>
          <w:rFonts w:ascii="Times New Roman" w:hAnsi="Times New Roman" w:cs="Times New Roman"/>
          <w:sz w:val="22"/>
          <w:szCs w:val="22"/>
        </w:rPr>
        <w:fldChar w:fldCharType="begin"/>
      </w:r>
      <w:r w:rsidRPr="0067008A">
        <w:rPr>
          <w:rFonts w:ascii="Times New Roman" w:hAnsi="Times New Roman" w:cs="Times New Roman"/>
          <w:sz w:val="22"/>
          <w:szCs w:val="22"/>
        </w:rPr>
        <w:instrText>SEQ Ilustración \* ARABIC</w:instrText>
      </w:r>
      <w:r w:rsidRPr="0067008A">
        <w:rPr>
          <w:rFonts w:ascii="Times New Roman" w:hAnsi="Times New Roman" w:cs="Times New Roman"/>
          <w:sz w:val="22"/>
          <w:szCs w:val="22"/>
        </w:rPr>
        <w:fldChar w:fldCharType="separate"/>
      </w:r>
      <w:r w:rsidR="0029216E" w:rsidRPr="0067008A">
        <w:rPr>
          <w:rFonts w:ascii="Times New Roman" w:hAnsi="Times New Roman" w:cs="Times New Roman"/>
          <w:noProof/>
          <w:sz w:val="22"/>
          <w:szCs w:val="22"/>
        </w:rPr>
        <w:t>6</w:t>
      </w:r>
      <w:r w:rsidRPr="0067008A">
        <w:rPr>
          <w:rFonts w:ascii="Times New Roman" w:hAnsi="Times New Roman" w:cs="Times New Roman"/>
          <w:sz w:val="22"/>
          <w:szCs w:val="22"/>
        </w:rPr>
        <w:fldChar w:fldCharType="end"/>
      </w:r>
      <w:r w:rsidRPr="0067008A">
        <w:rPr>
          <w:rFonts w:ascii="Times New Roman" w:hAnsi="Times New Roman" w:cs="Times New Roman"/>
          <w:sz w:val="22"/>
          <w:szCs w:val="22"/>
        </w:rPr>
        <w:t xml:space="preserve"> Ganancia del Banco de Guayaquil, 2015-2021, en USD</w:t>
      </w:r>
    </w:p>
    <w:p w:rsidR="006A4D59" w:rsidRPr="0067008A" w:rsidRDefault="001A2FF9" w:rsidP="00677E33">
      <w:pPr>
        <w:spacing w:after="240" w:line="360" w:lineRule="auto"/>
        <w:jc w:val="both"/>
        <w:rPr>
          <w:rFonts w:ascii="Times New Roman" w:hAnsi="Times New Roman" w:cs="Times New Roman"/>
        </w:rPr>
      </w:pPr>
      <w:r w:rsidRPr="00CC67C2">
        <w:rPr>
          <w:rFonts w:ascii="Times New Roman" w:hAnsi="Times New Roman" w:cs="Times New Roman"/>
          <w:noProof/>
        </w:rPr>
        <w:drawing>
          <wp:inline distT="0" distB="0" distL="0" distR="0">
            <wp:extent cx="5394960" cy="2654935"/>
            <wp:effectExtent l="0" t="0" r="0" b="0"/>
            <wp:docPr id="16" name="Gráfico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8"/>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4960" cy="2654935"/>
                    </a:xfrm>
                    <a:prstGeom prst="rect">
                      <a:avLst/>
                    </a:prstGeom>
                    <a:noFill/>
                    <a:ln>
                      <a:noFill/>
                    </a:ln>
                  </pic:spPr>
                </pic:pic>
              </a:graphicData>
            </a:graphic>
          </wp:inline>
        </w:drawing>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Fuente: (Superintendencia de Bancos 2021)</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Del gráfico anterior puede notarse el crecimiento de las utilidades del Banco de Guayaquil a partir del año 2017 con el gobierno de Lenin Moreno, que pasan de 271,6 millones de USD en el año 2017 a 513,6 millones de USD en el año 2019 (Superintendencia de Bancos 2021).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Las ganancias ceden en el año 2020 por la pandemia del Covid-19 que redujo la actividad económica, pero se recuperan inmediatamente en el año 2021, en efecto, a septiembre de ese año, las ganancias eran superiores a aquellas del año 2016. Ahora bien, en estos últimos siete años el grupo económico tuvo acceso a 1.970 millones de USD en ganancias, de las cuales aproximadamente el 80% de estas ganancias van directamente a la Corporación MULTIBG S.A. que es dueña de alrededor del 80% de las acciones del Banco de Guayaquil, y de ese valor, el 94% van directamente a la familia Lasso Mendoza y Lasso Alcívar, que son las dueñas mayoritarias de las acciones de la Corporación MULTIBG S.A (Superintendencia de Compañías 2021). En este análisis no constan las utilidades de las otras empresas financieras del grupo como BANISI, Casa de Valores Multivalores BG, COLARI, entre otras.</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Ahora bien, la tendencia a incrementar las utilidades no es privativa solamente del Banco de Guayaquil sino de todo el sistema financiero nacional, básicamente por las decisiones de liberalización del sistema financiero nacional que se llevaron adelante por el gobierno de ese entonces. Por ejemplo, el índice de bancarización que se mide por la relación entre la cartera bruta y los depósitos, pasó del 78,83% en enero del año 2010, al 99,97% en noviembre del año 2019 (Superintendencia de Bancos 2021). Esto significa que los bancos tuvieron un mayor nivel de apalancamiento financiero, y una mayor discrecionalidad al momento de definir sus costos de transacción y las políticas de tasas de interés. El crecimiento de los niveles de apalancamiento por bancarización pueden apreciarse en el siguiente gráfico:</w:t>
      </w:r>
    </w:p>
    <w:p w:rsidR="006A4D59" w:rsidRPr="0067008A" w:rsidRDefault="00921711" w:rsidP="00677E33">
      <w:pPr>
        <w:pStyle w:val="Descripcin"/>
        <w:spacing w:after="240" w:line="360" w:lineRule="auto"/>
        <w:rPr>
          <w:rFonts w:ascii="Times New Roman" w:hAnsi="Times New Roman" w:cs="Times New Roman"/>
          <w:sz w:val="22"/>
          <w:szCs w:val="22"/>
        </w:rPr>
      </w:pPr>
      <w:r w:rsidRPr="0067008A">
        <w:rPr>
          <w:rFonts w:ascii="Times New Roman" w:hAnsi="Times New Roman" w:cs="Times New Roman"/>
          <w:sz w:val="22"/>
          <w:szCs w:val="22"/>
        </w:rPr>
        <w:t xml:space="preserve">Ilustración </w:t>
      </w:r>
      <w:r w:rsidRPr="0067008A">
        <w:rPr>
          <w:rFonts w:ascii="Times New Roman" w:hAnsi="Times New Roman" w:cs="Times New Roman"/>
          <w:sz w:val="22"/>
          <w:szCs w:val="22"/>
        </w:rPr>
        <w:fldChar w:fldCharType="begin"/>
      </w:r>
      <w:r w:rsidRPr="0067008A">
        <w:rPr>
          <w:rFonts w:ascii="Times New Roman" w:hAnsi="Times New Roman" w:cs="Times New Roman"/>
          <w:sz w:val="22"/>
          <w:szCs w:val="22"/>
        </w:rPr>
        <w:instrText>SEQ Ilustración \* ARABIC</w:instrText>
      </w:r>
      <w:r w:rsidRPr="0067008A">
        <w:rPr>
          <w:rFonts w:ascii="Times New Roman" w:hAnsi="Times New Roman" w:cs="Times New Roman"/>
          <w:sz w:val="22"/>
          <w:szCs w:val="22"/>
        </w:rPr>
        <w:fldChar w:fldCharType="separate"/>
      </w:r>
      <w:r w:rsidR="0029216E" w:rsidRPr="0067008A">
        <w:rPr>
          <w:rFonts w:ascii="Times New Roman" w:hAnsi="Times New Roman" w:cs="Times New Roman"/>
          <w:noProof/>
          <w:sz w:val="22"/>
          <w:szCs w:val="22"/>
        </w:rPr>
        <w:t>7</w:t>
      </w:r>
      <w:r w:rsidRPr="0067008A">
        <w:rPr>
          <w:rFonts w:ascii="Times New Roman" w:hAnsi="Times New Roman" w:cs="Times New Roman"/>
          <w:sz w:val="22"/>
          <w:szCs w:val="22"/>
        </w:rPr>
        <w:fldChar w:fldCharType="end"/>
      </w:r>
      <w:r w:rsidRPr="0067008A">
        <w:rPr>
          <w:rFonts w:ascii="Times New Roman" w:hAnsi="Times New Roman" w:cs="Times New Roman"/>
          <w:sz w:val="22"/>
          <w:szCs w:val="22"/>
        </w:rPr>
        <w:t xml:space="preserve"> Porcentaje de bancarización y apalancamiento, ene-2010-sept-2021, en USD</w:t>
      </w:r>
    </w:p>
    <w:p w:rsidR="006A4D59" w:rsidRPr="0067008A" w:rsidRDefault="001A2FF9" w:rsidP="00677E33">
      <w:pPr>
        <w:spacing w:after="240" w:line="360" w:lineRule="auto"/>
        <w:jc w:val="both"/>
        <w:rPr>
          <w:rFonts w:ascii="Times New Roman" w:hAnsi="Times New Roman" w:cs="Times New Roman"/>
        </w:rPr>
      </w:pPr>
      <w:r w:rsidRPr="00CC67C2">
        <w:rPr>
          <w:rFonts w:ascii="Times New Roman" w:hAnsi="Times New Roman" w:cs="Times New Roman"/>
          <w:noProof/>
        </w:rPr>
        <w:drawing>
          <wp:inline distT="0" distB="0" distL="0" distR="0">
            <wp:extent cx="4572000" cy="2754630"/>
            <wp:effectExtent l="0" t="0" r="0" b="0"/>
            <wp:docPr id="17" name="Gráfico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9"/>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2754630"/>
                    </a:xfrm>
                    <a:prstGeom prst="rect">
                      <a:avLst/>
                    </a:prstGeom>
                    <a:noFill/>
                    <a:ln>
                      <a:noFill/>
                    </a:ln>
                  </pic:spPr>
                </pic:pic>
              </a:graphicData>
            </a:graphic>
          </wp:inline>
        </w:drawing>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Fuente: (Superintendencia de Bancos 2021)</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Fueron las políticas de desregulación financiera las que llevaron las utilidades de los bancos privados a niveles importantes en el periodo 2017-2020. Ahora bien, es importante indicar que el accionista principal del grupo económico Banco de Guayaquil, Guillermo Lasso Mendoza, fue un importante aliado del régimen de Lenin Moreno, y apoyó a través de sus estructuras políticas, fundamentalmente el partido político CREO, las iniciativas de desregulación financiera, privatización y consolidación fiscal que se llevaron adelante en el periodo antes indicado.</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En efecto, si se revisa el crecimiento del patrimonio de los bancos privados (constituido por el capital social, las reservas, y las utilidades comparadas) como porcentaje del PIB, en una serie de largo plazo, por ejemplo a partir del año 2010 hasta el año 2021, podemos concluir, de un solo vistazo, que las políticas de desregulación financiera fueron altamente favorables para el sistema bancario, porque crecieron más rápidamente que el crecimiento de la economía, conforme puede verse en el siguiente gráfico:</w:t>
      </w:r>
    </w:p>
    <w:p w:rsidR="006A4D59" w:rsidRPr="0067008A" w:rsidRDefault="00921711" w:rsidP="00677E33">
      <w:pPr>
        <w:pStyle w:val="Descripcin"/>
        <w:spacing w:after="240" w:line="360" w:lineRule="auto"/>
        <w:rPr>
          <w:rFonts w:ascii="Times New Roman" w:hAnsi="Times New Roman" w:cs="Times New Roman"/>
          <w:sz w:val="22"/>
          <w:szCs w:val="22"/>
        </w:rPr>
      </w:pPr>
      <w:r w:rsidRPr="0067008A">
        <w:rPr>
          <w:rFonts w:ascii="Times New Roman" w:hAnsi="Times New Roman" w:cs="Times New Roman"/>
          <w:sz w:val="22"/>
          <w:szCs w:val="22"/>
        </w:rPr>
        <w:t xml:space="preserve">Ilustración </w:t>
      </w:r>
      <w:r w:rsidRPr="0067008A">
        <w:rPr>
          <w:rFonts w:ascii="Times New Roman" w:hAnsi="Times New Roman" w:cs="Times New Roman"/>
          <w:sz w:val="22"/>
          <w:szCs w:val="22"/>
        </w:rPr>
        <w:fldChar w:fldCharType="begin"/>
      </w:r>
      <w:r w:rsidRPr="0067008A">
        <w:rPr>
          <w:rFonts w:ascii="Times New Roman" w:hAnsi="Times New Roman" w:cs="Times New Roman"/>
          <w:sz w:val="22"/>
          <w:szCs w:val="22"/>
        </w:rPr>
        <w:instrText>SEQ Ilustración \* ARABIC</w:instrText>
      </w:r>
      <w:r w:rsidRPr="0067008A">
        <w:rPr>
          <w:rFonts w:ascii="Times New Roman" w:hAnsi="Times New Roman" w:cs="Times New Roman"/>
          <w:sz w:val="22"/>
          <w:szCs w:val="22"/>
        </w:rPr>
        <w:fldChar w:fldCharType="separate"/>
      </w:r>
      <w:r w:rsidR="0029216E" w:rsidRPr="0067008A">
        <w:rPr>
          <w:rFonts w:ascii="Times New Roman" w:hAnsi="Times New Roman" w:cs="Times New Roman"/>
          <w:noProof/>
          <w:sz w:val="22"/>
          <w:szCs w:val="22"/>
        </w:rPr>
        <w:t>8</w:t>
      </w:r>
      <w:r w:rsidRPr="0067008A">
        <w:rPr>
          <w:rFonts w:ascii="Times New Roman" w:hAnsi="Times New Roman" w:cs="Times New Roman"/>
          <w:sz w:val="22"/>
          <w:szCs w:val="22"/>
        </w:rPr>
        <w:fldChar w:fldCharType="end"/>
      </w:r>
      <w:r w:rsidRPr="0067008A">
        <w:rPr>
          <w:rFonts w:ascii="Times New Roman" w:hAnsi="Times New Roman" w:cs="Times New Roman"/>
          <w:sz w:val="22"/>
          <w:szCs w:val="22"/>
        </w:rPr>
        <w:t xml:space="preserve"> % del Patrimonio de los Bancos Privados sobre el PIB, 2010-sept-2021, en USD</w:t>
      </w:r>
    </w:p>
    <w:p w:rsidR="006A4D59" w:rsidRPr="0067008A" w:rsidRDefault="001A2FF9" w:rsidP="00677E33">
      <w:pPr>
        <w:spacing w:after="240" w:line="360" w:lineRule="auto"/>
        <w:rPr>
          <w:rFonts w:ascii="Times New Roman" w:hAnsi="Times New Roman" w:cs="Times New Roman"/>
          <w:b/>
        </w:rPr>
      </w:pPr>
      <w:r w:rsidRPr="00CC67C2">
        <w:rPr>
          <w:rFonts w:ascii="Times New Roman" w:hAnsi="Times New Roman" w:cs="Times New Roman"/>
          <w:noProof/>
        </w:rPr>
        <w:drawing>
          <wp:inline distT="0" distB="0" distL="0" distR="0">
            <wp:extent cx="4572000" cy="3823335"/>
            <wp:effectExtent l="0" t="0" r="0" b="0"/>
            <wp:docPr id="18" name="Gráfico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0"/>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3823335"/>
                    </a:xfrm>
                    <a:prstGeom prst="rect">
                      <a:avLst/>
                    </a:prstGeom>
                    <a:noFill/>
                    <a:ln>
                      <a:noFill/>
                    </a:ln>
                  </pic:spPr>
                </pic:pic>
              </a:graphicData>
            </a:graphic>
          </wp:inline>
        </w:drawing>
      </w:r>
    </w:p>
    <w:p w:rsidR="006A4D59" w:rsidRPr="0067008A" w:rsidRDefault="00921711" w:rsidP="00677E33">
      <w:pPr>
        <w:spacing w:after="240" w:line="360" w:lineRule="auto"/>
        <w:rPr>
          <w:rFonts w:ascii="Times New Roman" w:hAnsi="Times New Roman" w:cs="Times New Roman"/>
        </w:rPr>
      </w:pPr>
      <w:r w:rsidRPr="0067008A">
        <w:rPr>
          <w:rFonts w:ascii="Times New Roman" w:hAnsi="Times New Roman" w:cs="Times New Roman"/>
        </w:rPr>
        <w:t>Fuente: (Superintendencia de Bancos 2021)</w:t>
      </w:r>
    </w:p>
    <w:p w:rsidR="006A4D59" w:rsidRPr="0067008A" w:rsidRDefault="00921711" w:rsidP="002E7BE5">
      <w:pPr>
        <w:spacing w:after="240" w:line="360" w:lineRule="auto"/>
        <w:jc w:val="both"/>
        <w:rPr>
          <w:rFonts w:ascii="Times New Roman" w:hAnsi="Times New Roman" w:cs="Times New Roman"/>
        </w:rPr>
      </w:pPr>
      <w:r w:rsidRPr="0067008A">
        <w:rPr>
          <w:rFonts w:ascii="Times New Roman" w:hAnsi="Times New Roman" w:cs="Times New Roman"/>
        </w:rPr>
        <w:t>En el gráfico anterior puede verse cómo la línea de tendencia del crecimiento del patrimonio de los bancos con relación al PIB es creciente. De otra parte, hay que indicar que el PIB durante ese periodo tuvo una tasa de crecimiento menor que el crecimiento del patrimonio de los bancos privados.</w:t>
      </w:r>
    </w:p>
    <w:p w:rsidR="006A4D59" w:rsidRPr="0067008A" w:rsidRDefault="00921711" w:rsidP="00677E33">
      <w:pPr>
        <w:spacing w:after="240" w:line="360" w:lineRule="auto"/>
        <w:rPr>
          <w:rFonts w:ascii="Times New Roman" w:hAnsi="Times New Roman" w:cs="Times New Roman"/>
          <w:b/>
        </w:rPr>
      </w:pPr>
      <w:r w:rsidRPr="0067008A">
        <w:rPr>
          <w:rFonts w:ascii="Times New Roman" w:hAnsi="Times New Roman" w:cs="Times New Roman"/>
          <w:b/>
        </w:rPr>
        <w:t>Grupo Banco de Guayaquil- Corporación MultiBG.- Los orígenes</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Es necesario insistir que el centro neurálgico y desde el cual se toman todas las decisiones económicas del grupo Banco de Guayaquil, es desde la Corporación MULTIBG S.A., cuyo principal accionista es Guillermo Lasso Mendoza; en consecuencia, para comprender la dinámica del grupo económico Banco de Guayaquil, es necesario conocer sus orígenes y su posterior desarrollo hasta la consolidación mayoritaria dentro de este grupo.</w:t>
      </w:r>
    </w:p>
    <w:p w:rsidR="006A4D59" w:rsidRPr="0067008A" w:rsidRDefault="00921711" w:rsidP="00677E33">
      <w:pPr>
        <w:pStyle w:val="Prrafodelista"/>
        <w:numPr>
          <w:ilvl w:val="0"/>
          <w:numId w:val="23"/>
        </w:numPr>
        <w:spacing w:after="240" w:line="360" w:lineRule="auto"/>
        <w:contextualSpacing w:val="0"/>
        <w:jc w:val="both"/>
        <w:rPr>
          <w:sz w:val="22"/>
        </w:rPr>
      </w:pPr>
      <w:r w:rsidRPr="0067008A">
        <w:rPr>
          <w:sz w:val="22"/>
        </w:rPr>
        <w:t>En noviembre del año 1981, comparecen a la Notaría Vigésimo Séptima de Guayaquil, las siguientes personas: Oscar Orrantia Vernaza, Carlos Muñoz Insúa, Luis Fernando Gómez Icaza, Marcia Joniaux Murillo, y Rodrigo Puig-Mir Game, como representante de la compañía Inmuebles B.G.C. Ltda., para constituir, con mil acciones con un valor de 1.000 sucres cada una, la compañía FIDUCIASUR S.A., con objetivo de comprar y vender bienes inmuebles, acciones,</w:t>
      </w:r>
      <w:r w:rsidR="00677E33" w:rsidRPr="0067008A">
        <w:rPr>
          <w:sz w:val="22"/>
        </w:rPr>
        <w:t xml:space="preserve"> </w:t>
      </w:r>
      <w:r w:rsidRPr="0067008A">
        <w:rPr>
          <w:sz w:val="22"/>
        </w:rPr>
        <w:t>bonos, cédulas y valores fiduciarios en general, y se aprueba en el Registro mercantil el 17 de diciembre de 1981 (Notaría 27 1981);</w:t>
      </w:r>
    </w:p>
    <w:p w:rsidR="006A4D59" w:rsidRPr="0067008A" w:rsidRDefault="00921711" w:rsidP="00677E33">
      <w:pPr>
        <w:pStyle w:val="Prrafodelista"/>
        <w:numPr>
          <w:ilvl w:val="0"/>
          <w:numId w:val="23"/>
        </w:numPr>
        <w:spacing w:after="240" w:line="360" w:lineRule="auto"/>
        <w:contextualSpacing w:val="0"/>
        <w:jc w:val="both"/>
        <w:rPr>
          <w:sz w:val="22"/>
        </w:rPr>
      </w:pPr>
      <w:r w:rsidRPr="0067008A">
        <w:rPr>
          <w:sz w:val="22"/>
        </w:rPr>
        <w:t>El 24 de febrero de 1986, aparece como Presidente Ejecutivo de FIDUCIASUR S.A., Roger Arosemena Benites, quien solicita incrementar el capital social de la compañía a 195 millones de sucres, e incorporar a los siguientes nuevos accionistas: Inversiones del Centro ICENTRO (27.445 acciones), MEGACORP (20.425 acciones), CREDICORP (100.700 acciones), entre otros. Cada acción equivale a 1.000 sucres. Las compañías CREDICORP y MEGACORP tienen como socios mayoritarios a Carlos Lasso Mendoza quien actúa como Gerente General de ambas empresas, mientras que ICENTRO tiene como representante a Roger Arosemena Benites. El Presidente de la Junta de accionistas en esa ocasión fue Danilo Carrera Drouet, un directivo del Banco de Guayaquil (Notaría 30 1986);</w:t>
      </w:r>
    </w:p>
    <w:p w:rsidR="006A4D59" w:rsidRPr="0067008A" w:rsidRDefault="00921711" w:rsidP="00677E33">
      <w:pPr>
        <w:pStyle w:val="Prrafodelista"/>
        <w:numPr>
          <w:ilvl w:val="0"/>
          <w:numId w:val="23"/>
        </w:numPr>
        <w:spacing w:after="240" w:line="360" w:lineRule="auto"/>
        <w:contextualSpacing w:val="0"/>
        <w:jc w:val="both"/>
        <w:rPr>
          <w:sz w:val="22"/>
        </w:rPr>
      </w:pPr>
      <w:r w:rsidRPr="0067008A">
        <w:rPr>
          <w:sz w:val="22"/>
        </w:rPr>
        <w:t>El 19 de julio de 1989, el representante y Presidente Ejecutivo de FIDUCIASUR S.A. Roger Arosemena Benites, solicita el aumento de capital social por 730 millones de sucres, para un capital suscrito de 1.930 millones de sucres. Seis meses después, el 27 de diciembre de 1989, se solicita nuevamente una ampliación de capital social, esta vez por 403 millones de sucres, para elevar el capital social de FIDUCIASUR S.A. a 1.333 millones de sucres. CREDICORP tiene 261.383 acciones de 1.000 sucres cada una, MEGACORP 58.079 acciones de 1.000 sucres cada una, ICENTRO, 73.538 acciones de 1.000 sucres cada una, lo que los convierte en los socios mayoritarios. Los accionistas originales son desplazados y toman el control de la sociedad, Carlos Lasso Mendoza y Roger Arosemena Benites (Notaría 30 1989);</w:t>
      </w:r>
    </w:p>
    <w:p w:rsidR="006A4D59" w:rsidRPr="0067008A" w:rsidRDefault="00921711" w:rsidP="00677E33">
      <w:pPr>
        <w:pStyle w:val="Prrafodelista"/>
        <w:numPr>
          <w:ilvl w:val="0"/>
          <w:numId w:val="23"/>
        </w:numPr>
        <w:spacing w:after="240" w:line="360" w:lineRule="auto"/>
        <w:contextualSpacing w:val="0"/>
        <w:jc w:val="both"/>
        <w:rPr>
          <w:sz w:val="22"/>
        </w:rPr>
      </w:pPr>
      <w:r w:rsidRPr="0067008A">
        <w:rPr>
          <w:sz w:val="22"/>
        </w:rPr>
        <w:t xml:space="preserve">El 29 de diciembre de 1992, en los primeros meses del gobierno de Sixto Durán Ballén, se solicita la fusión por absorción, el cambio de denominación, al aumento de capital y la reforma integral de los estatutos de FIDUCIASUR S.A. Se cambia la denominación de FIDUCIASUR S.A., por </w:t>
      </w:r>
      <w:r w:rsidRPr="0067008A">
        <w:rPr>
          <w:b/>
          <w:sz w:val="22"/>
        </w:rPr>
        <w:t>CORPORACIÓN MULTIBG S.A</w:t>
      </w:r>
      <w:r w:rsidRPr="0067008A">
        <w:rPr>
          <w:sz w:val="22"/>
        </w:rPr>
        <w:t xml:space="preserve">., se incrementa el capital social a 10.706.870.000 sucres. Entre los nuevos accionistas aparece Agrícola GLM S.A., de </w:t>
      </w:r>
      <w:r w:rsidRPr="0067008A">
        <w:rPr>
          <w:b/>
          <w:sz w:val="22"/>
        </w:rPr>
        <w:t xml:space="preserve">Guillermo Lasso Mendoza, </w:t>
      </w:r>
      <w:r w:rsidRPr="0067008A">
        <w:rPr>
          <w:sz w:val="22"/>
        </w:rPr>
        <w:t>quien para la época es funcionario del Banco de Guayaquil. La nueva estructura accionaria de CORPORACIÓN MULTIBG S.A., es la siguiente: INORTE con 38,3% de acciones, AGRICOLA GLM S.A., con 33,4% de acciones, y CAMARONES LAROCAN S.A., con 28,1%. (Notaría 13 1992) Cabe indicar que los principales accionistas de INORTE son CREDICORP Y MEGACORP, de Carlos Lasso Mendoza. En esa oportunidad, la Superintendencia de Compañias indicó que el proceso de fusión se había realizado entre empresas que eran accionistas mayoritarias y sin presentar los registros contables y los balances generales finales (Superintendencia de Compañías 2021);</w:t>
      </w:r>
    </w:p>
    <w:p w:rsidR="006A4D59" w:rsidRPr="0067008A" w:rsidRDefault="00921711" w:rsidP="00677E33">
      <w:pPr>
        <w:pStyle w:val="Prrafodelista"/>
        <w:numPr>
          <w:ilvl w:val="0"/>
          <w:numId w:val="23"/>
        </w:numPr>
        <w:spacing w:after="240" w:line="360" w:lineRule="auto"/>
        <w:contextualSpacing w:val="0"/>
        <w:jc w:val="both"/>
        <w:rPr>
          <w:sz w:val="22"/>
        </w:rPr>
      </w:pPr>
      <w:r w:rsidRPr="0067008A">
        <w:rPr>
          <w:sz w:val="22"/>
        </w:rPr>
        <w:t>El 7 de octubre de 1994, el representante legal de CORPORACIÓN MULTIBG S.A., Roger Arosemena Benites, solicita a las autoridades el incremento del capital social en 42.493.130.000 sucres, para un capital suscrito y pagado de 53.200.000.000 sucres. El incremento de las acciones se traslada a la off shore ANDEAN INVESTMENT LTDA. de las Islas Caymán, Reino Unido, y con Guillermo Lasso Mendoza (51% del capital), Carlos Lasso Mendoza (19% del capital) y María Eugenia Lasso Mendoza (30% del capital), como únicos accionistas. De esta manera, ANDEAN INVESTMENT LTDA., pasa de 9.290 millones de acciones de 1.000 sucres cada una, a 49.290.270 acciones de mil sucres cada una, y adquiere el 92,65% de la estructura accionaria de la CORPORACIÓN MULTIBG S.A. El siguiente accionista en importancia de esta compañía es Leopoldo Carrera Drouet con el 2,89% de las acciones. El 3 de febrero de 1995, solicitan incrementar el capital autorizado a 106.400 millones de sucres (Notaría 2 1994);</w:t>
      </w:r>
    </w:p>
    <w:p w:rsidR="006A4D59" w:rsidRPr="0067008A" w:rsidRDefault="00921711" w:rsidP="00677E33">
      <w:pPr>
        <w:pStyle w:val="Prrafodelista"/>
        <w:numPr>
          <w:ilvl w:val="0"/>
          <w:numId w:val="23"/>
        </w:numPr>
        <w:spacing w:after="240" w:line="360" w:lineRule="auto"/>
        <w:contextualSpacing w:val="0"/>
        <w:jc w:val="both"/>
        <w:rPr>
          <w:sz w:val="22"/>
        </w:rPr>
      </w:pPr>
      <w:r w:rsidRPr="0067008A">
        <w:rPr>
          <w:sz w:val="22"/>
        </w:rPr>
        <w:t xml:space="preserve">Luego de la crisis de 1999, y la transición al esquema de dolarización de la economía, a partir de enero del año 2000, el 20 de junio de 2001, el representante legal de la CORPORACIÓN MULTIBG S.A., Carlos Lasso Mendoza, solicita un capital autorizado de 4.256.000 USD, y un capital pagado de 2.218.000USD (Notaría 35 2001). Cabe anotar que para ese año (2001), </w:t>
      </w:r>
      <w:r w:rsidRPr="0067008A">
        <w:rPr>
          <w:b/>
          <w:sz w:val="22"/>
        </w:rPr>
        <w:t>Roger Arosemena Benites</w:t>
      </w:r>
      <w:r w:rsidRPr="0067008A">
        <w:rPr>
          <w:sz w:val="22"/>
        </w:rPr>
        <w:t>, anterior representante legal de la CORPORACIÓN MULTIBG S.A., se desempeña ya como Notario de la Notaría Trigésimo Quinta de Guayaquil. Para el siguiente año, y gracias a la intervención en el mercado de los certificados reprogramables emitidos por las autoridades económicas de ese entonces para resolver la crisis bancaria y financiera de 1999, la CORPORACIÓN MULTIBG S.A., solicita el 3 de julio de 2002, ampliar su capital autorizado a 66.000.000 USD, y su capital suscrito y pagado a 30.872.000 USD (Notaría 35 2002). La intervención de la CORPORACIÓN MULTIBG S.A.,</w:t>
      </w:r>
      <w:r w:rsidR="00677E33" w:rsidRPr="0067008A">
        <w:rPr>
          <w:sz w:val="22"/>
        </w:rPr>
        <w:t xml:space="preserve"> </w:t>
      </w:r>
      <w:r w:rsidRPr="0067008A">
        <w:rPr>
          <w:sz w:val="22"/>
        </w:rPr>
        <w:t>en el mercado monetario y financiero, le permite capitalizar las cuentas de reservas por 21.731.307 USD, obtener utilidades netas por 810.505 USD, y compensaciones de créditos por 8.066.086 USD. Todas estas operaciones están vinculadas a los certificados de depósitos reprogramables (CDR) que el gobierno de ese entonces emitió para los acreedores de la banca privada que habían sido intervenidos por las autoridades de control. MULTIBG S.A. actuó como interfaz entre el Banco de Guayaquil y los poseedores de los CDR emitidos por el gobierno de ese entonces (Superintendencia de Compañías 2021). El proceso de canalizar las cuentas de reservas, utilidades y compensaciones de créditos, para aumentar el capital social de la CORPORACIÓN MULTIBG S.A., le permitieron al representante de ANDEAN INVESTMENT LTDA., Guillermo Lasso Mendoza, incrementar su participación accionaria a 31.732.927,14 USD, y captar el 92,65% de las acciones de esta compañía (Notaría 35 2001);</w:t>
      </w:r>
    </w:p>
    <w:p w:rsidR="006A4D59" w:rsidRPr="0067008A" w:rsidRDefault="00921711" w:rsidP="00677E33">
      <w:pPr>
        <w:pStyle w:val="Prrafodelista"/>
        <w:numPr>
          <w:ilvl w:val="0"/>
          <w:numId w:val="23"/>
        </w:numPr>
        <w:spacing w:after="240" w:line="360" w:lineRule="auto"/>
        <w:contextualSpacing w:val="0"/>
        <w:jc w:val="both"/>
        <w:rPr>
          <w:sz w:val="22"/>
        </w:rPr>
      </w:pPr>
      <w:r w:rsidRPr="0067008A">
        <w:rPr>
          <w:sz w:val="22"/>
        </w:rPr>
        <w:t>El 16 de diciembre de 2005, el representante de la CORPORACIÓN MULTIBG S.A., Carlos Lasso Mendoza, solicita un incremento del capital social por 2.414.613 USD, para un capital pagado de 35.414.613 USD (Notaría 35 2005). En esta oportunidad la casi totalidad de las nuevas acciones serán destinadas a una off shore de Panamá, INVERSIONES LATINA INVERLAT, representada por Julio Mackliff Elizalde, Emilio Armando Mackliff Elizalde y con Angelo Caputi Oyague como únicos accionistas. El 12 de octubre de 2007 se incrementará el capital social a 37.539.803 USD, y el 20 de mayo a 39.729.420 USD. De esta forma, ANDEAN INVESTMENT LTDA., de Guillermo Lasso Mendoza, pasa de 33.058.394 USD a 34.986.599 USD de control accionario de la CORPORACIÓN MULTIBG S.A; mientras que el segundo inversionista más importante es INVERSIONES LATINA INVERLAT, que pasa de 2.559.512 USD a 2.708.803 USD (Notaría 35 2005).</w:t>
      </w:r>
    </w:p>
    <w:p w:rsidR="006A4D59" w:rsidRPr="0067008A" w:rsidRDefault="00921711" w:rsidP="002E7BE5">
      <w:pPr>
        <w:spacing w:after="240" w:line="360" w:lineRule="auto"/>
        <w:ind w:left="1134"/>
        <w:jc w:val="both"/>
        <w:rPr>
          <w:rFonts w:ascii="Times New Roman" w:hAnsi="Times New Roman" w:cs="Times New Roman"/>
        </w:rPr>
      </w:pPr>
      <w:r w:rsidRPr="0067008A">
        <w:rPr>
          <w:rFonts w:ascii="Times New Roman" w:hAnsi="Times New Roman" w:cs="Times New Roman"/>
        </w:rPr>
        <w:t>En el año 2011, se liquida ANDEAN INVESTMENT LTDA. y se pasa a una estructura más descentralizada tanto en off shore cuanto en fideicomisos internos. El 14 de marzo de 2011, se produce la transferencia de las acciones de ANDEAN INVESTMENT LTD, a los siguientes fideicomisos mercantiles nacionales:</w:t>
      </w:r>
    </w:p>
    <w:p w:rsidR="006A4D59" w:rsidRPr="0067008A" w:rsidRDefault="00921711" w:rsidP="00677E33">
      <w:pPr>
        <w:pStyle w:val="Prrafodelista"/>
        <w:numPr>
          <w:ilvl w:val="0"/>
          <w:numId w:val="35"/>
        </w:numPr>
        <w:spacing w:after="240" w:line="360" w:lineRule="auto"/>
        <w:contextualSpacing w:val="0"/>
        <w:jc w:val="both"/>
        <w:rPr>
          <w:sz w:val="22"/>
        </w:rPr>
      </w:pPr>
      <w:r w:rsidRPr="0067008A">
        <w:rPr>
          <w:sz w:val="22"/>
        </w:rPr>
        <w:t>15.704.888 acciones al Fideicomiso Mercantil de Administración GLM</w:t>
      </w:r>
    </w:p>
    <w:p w:rsidR="006A4D59" w:rsidRPr="0067008A" w:rsidRDefault="00921711" w:rsidP="00677E33">
      <w:pPr>
        <w:pStyle w:val="Prrafodelista"/>
        <w:numPr>
          <w:ilvl w:val="0"/>
          <w:numId w:val="35"/>
        </w:numPr>
        <w:spacing w:after="240" w:line="360" w:lineRule="auto"/>
        <w:contextualSpacing w:val="0"/>
        <w:jc w:val="both"/>
        <w:rPr>
          <w:sz w:val="22"/>
        </w:rPr>
      </w:pPr>
      <w:r w:rsidRPr="0067008A">
        <w:rPr>
          <w:sz w:val="22"/>
        </w:rPr>
        <w:t>6.613.689 acciones al Fideicomiso Mercantil de Administración MELM</w:t>
      </w:r>
    </w:p>
    <w:p w:rsidR="006A4D59" w:rsidRPr="0067008A" w:rsidRDefault="00921711" w:rsidP="00677E33">
      <w:pPr>
        <w:pStyle w:val="Prrafodelista"/>
        <w:numPr>
          <w:ilvl w:val="0"/>
          <w:numId w:val="35"/>
        </w:numPr>
        <w:spacing w:after="240" w:line="360" w:lineRule="auto"/>
        <w:contextualSpacing w:val="0"/>
        <w:jc w:val="both"/>
        <w:rPr>
          <w:sz w:val="22"/>
        </w:rPr>
      </w:pPr>
      <w:r w:rsidRPr="0067008A">
        <w:rPr>
          <w:sz w:val="22"/>
        </w:rPr>
        <w:t>5.850.841 acciones al Fideicomiso Mercantil de Administración CLM-MMS</w:t>
      </w:r>
    </w:p>
    <w:p w:rsidR="006A4D59" w:rsidRPr="0067008A" w:rsidRDefault="00921711" w:rsidP="00677E33">
      <w:pPr>
        <w:pStyle w:val="Prrafodelista"/>
        <w:numPr>
          <w:ilvl w:val="0"/>
          <w:numId w:val="35"/>
        </w:numPr>
        <w:spacing w:after="240" w:line="360" w:lineRule="auto"/>
        <w:contextualSpacing w:val="0"/>
        <w:jc w:val="both"/>
        <w:rPr>
          <w:sz w:val="22"/>
        </w:rPr>
      </w:pPr>
      <w:r w:rsidRPr="0067008A">
        <w:rPr>
          <w:sz w:val="22"/>
        </w:rPr>
        <w:t>1.574.688 acciones al Fideicomiso Mercantil de Administración DCD-UNO</w:t>
      </w:r>
    </w:p>
    <w:p w:rsidR="006A4D59" w:rsidRPr="0067008A" w:rsidRDefault="00921711" w:rsidP="00677E33">
      <w:pPr>
        <w:pStyle w:val="Prrafodelista"/>
        <w:numPr>
          <w:ilvl w:val="0"/>
          <w:numId w:val="35"/>
        </w:numPr>
        <w:spacing w:after="240" w:line="360" w:lineRule="auto"/>
        <w:contextualSpacing w:val="0"/>
        <w:jc w:val="both"/>
        <w:rPr>
          <w:sz w:val="22"/>
        </w:rPr>
      </w:pPr>
      <w:r w:rsidRPr="0067008A">
        <w:rPr>
          <w:sz w:val="22"/>
        </w:rPr>
        <w:t>1.049.792 acciones al Fideicomiso Mercantil de Administración DCD-DOS</w:t>
      </w:r>
    </w:p>
    <w:p w:rsidR="006A4D59" w:rsidRPr="0067008A" w:rsidRDefault="00921711" w:rsidP="00677E33">
      <w:pPr>
        <w:pStyle w:val="Prrafodelista"/>
        <w:numPr>
          <w:ilvl w:val="0"/>
          <w:numId w:val="35"/>
        </w:numPr>
        <w:spacing w:after="240" w:line="360" w:lineRule="auto"/>
        <w:contextualSpacing w:val="0"/>
        <w:jc w:val="both"/>
        <w:rPr>
          <w:sz w:val="22"/>
        </w:rPr>
      </w:pPr>
      <w:r w:rsidRPr="0067008A">
        <w:rPr>
          <w:sz w:val="22"/>
        </w:rPr>
        <w:t>4.199.168 a PROMOQUIL.</w:t>
      </w:r>
    </w:p>
    <w:p w:rsidR="006A4D59" w:rsidRPr="0067008A" w:rsidRDefault="00921711" w:rsidP="00677E33">
      <w:pPr>
        <w:spacing w:after="240" w:line="360" w:lineRule="auto"/>
        <w:ind w:left="1134"/>
        <w:jc w:val="both"/>
        <w:rPr>
          <w:rFonts w:ascii="Times New Roman" w:hAnsi="Times New Roman" w:cs="Times New Roman"/>
        </w:rPr>
      </w:pPr>
      <w:r w:rsidRPr="0067008A">
        <w:rPr>
          <w:rFonts w:ascii="Times New Roman" w:hAnsi="Times New Roman" w:cs="Times New Roman"/>
        </w:rPr>
        <w:t>Todas las acciones son ordinarias, nominativas y liberadas, de 1,00 USD cada una (Superintendencia de Compañías 2021).</w:t>
      </w:r>
    </w:p>
    <w:p w:rsidR="006A4D59" w:rsidRPr="0067008A" w:rsidRDefault="00921711" w:rsidP="00677E33">
      <w:pPr>
        <w:pStyle w:val="Prrafodelista"/>
        <w:numPr>
          <w:ilvl w:val="0"/>
          <w:numId w:val="23"/>
        </w:numPr>
        <w:spacing w:after="240" w:line="360" w:lineRule="auto"/>
        <w:contextualSpacing w:val="0"/>
        <w:jc w:val="both"/>
        <w:rPr>
          <w:sz w:val="22"/>
        </w:rPr>
      </w:pPr>
      <w:r w:rsidRPr="0067008A">
        <w:rPr>
          <w:sz w:val="22"/>
        </w:rPr>
        <w:t>El 31 de diciembre de 2011, la CORPORACIÓN MULTIBG S.A., es la principal accionista del BANCO DE GUAYAQUIL, con el 78,71% de acciones a esa fecha (Superintendencia de Compañías 2021). En virtud de la legislación de liberalización financiera adoptada en 1994, el BANCO DE GUAYAQUIL es la sociedad controladora del GRUPO FINANCIERO BANCO DE GUAYAQUIL, y que se encuentra conformado por las siguientes empresas y reconocidas por la legislación nacional:</w:t>
      </w:r>
    </w:p>
    <w:p w:rsidR="006A4D59" w:rsidRPr="0067008A" w:rsidRDefault="00921711" w:rsidP="00677E33">
      <w:pPr>
        <w:pStyle w:val="Prrafodelista"/>
        <w:numPr>
          <w:ilvl w:val="1"/>
          <w:numId w:val="23"/>
        </w:numPr>
        <w:spacing w:after="240" w:line="360" w:lineRule="auto"/>
        <w:contextualSpacing w:val="0"/>
        <w:jc w:val="both"/>
        <w:rPr>
          <w:sz w:val="22"/>
        </w:rPr>
      </w:pPr>
      <w:r w:rsidRPr="0067008A">
        <w:rPr>
          <w:sz w:val="22"/>
        </w:rPr>
        <w:t>Banco de Guayaquil Panamá, que se cambió de nombre a BANISI S.A. (PANAMÁ), en el año 2011 (CORPORACION MULTIBG S.A. 2011)</w:t>
      </w:r>
    </w:p>
    <w:p w:rsidR="006A4D59" w:rsidRPr="0067008A" w:rsidRDefault="00921711" w:rsidP="00677E33">
      <w:pPr>
        <w:pStyle w:val="Prrafodelista"/>
        <w:numPr>
          <w:ilvl w:val="1"/>
          <w:numId w:val="23"/>
        </w:numPr>
        <w:spacing w:after="240" w:line="360" w:lineRule="auto"/>
        <w:contextualSpacing w:val="0"/>
        <w:jc w:val="both"/>
        <w:rPr>
          <w:sz w:val="22"/>
        </w:rPr>
      </w:pPr>
      <w:r w:rsidRPr="0067008A">
        <w:rPr>
          <w:sz w:val="22"/>
        </w:rPr>
        <w:t>Administradora de Fondos de Inversión y Fideicomisos BG S.A.</w:t>
      </w:r>
    </w:p>
    <w:p w:rsidR="006A4D59" w:rsidRPr="0067008A" w:rsidRDefault="00921711" w:rsidP="00677E33">
      <w:pPr>
        <w:pStyle w:val="Prrafodelista"/>
        <w:numPr>
          <w:ilvl w:val="1"/>
          <w:numId w:val="23"/>
        </w:numPr>
        <w:spacing w:after="240" w:line="360" w:lineRule="auto"/>
        <w:contextualSpacing w:val="0"/>
        <w:jc w:val="both"/>
        <w:rPr>
          <w:sz w:val="22"/>
        </w:rPr>
      </w:pPr>
      <w:r w:rsidRPr="0067008A">
        <w:rPr>
          <w:sz w:val="22"/>
        </w:rPr>
        <w:t>Casa de Valores Multivalores BG S.A.</w:t>
      </w:r>
    </w:p>
    <w:p w:rsidR="006A4D59" w:rsidRPr="0067008A" w:rsidRDefault="00921711" w:rsidP="00677E33">
      <w:pPr>
        <w:pStyle w:val="Prrafodelista"/>
        <w:numPr>
          <w:ilvl w:val="1"/>
          <w:numId w:val="23"/>
        </w:numPr>
        <w:spacing w:after="240" w:line="360" w:lineRule="auto"/>
        <w:contextualSpacing w:val="0"/>
        <w:jc w:val="both"/>
        <w:rPr>
          <w:sz w:val="22"/>
        </w:rPr>
      </w:pPr>
      <w:r w:rsidRPr="0067008A">
        <w:rPr>
          <w:sz w:val="22"/>
        </w:rPr>
        <w:t>Río Guayas Compañía de Seguros y Reaseguros BG S.S. (vendida en diciembre de 2011)</w:t>
      </w:r>
    </w:p>
    <w:p w:rsidR="006A4D59" w:rsidRPr="0067008A" w:rsidRDefault="00921711" w:rsidP="00677E33">
      <w:pPr>
        <w:pStyle w:val="Prrafodelista"/>
        <w:numPr>
          <w:ilvl w:val="1"/>
          <w:numId w:val="23"/>
        </w:numPr>
        <w:spacing w:after="240" w:line="360" w:lineRule="auto"/>
        <w:contextualSpacing w:val="0"/>
        <w:jc w:val="both"/>
        <w:rPr>
          <w:sz w:val="22"/>
        </w:rPr>
      </w:pPr>
      <w:r w:rsidRPr="0067008A">
        <w:rPr>
          <w:sz w:val="22"/>
        </w:rPr>
        <w:t>COLARI Agencia Asesora Productos de Seguros;</w:t>
      </w:r>
    </w:p>
    <w:p w:rsidR="006A4D59" w:rsidRPr="0067008A" w:rsidRDefault="00921711" w:rsidP="00677E33">
      <w:pPr>
        <w:pStyle w:val="Prrafodelista"/>
        <w:spacing w:after="240" w:line="360" w:lineRule="auto"/>
        <w:ind w:left="1440"/>
        <w:contextualSpacing w:val="0"/>
        <w:jc w:val="both"/>
        <w:rPr>
          <w:sz w:val="22"/>
        </w:rPr>
      </w:pPr>
      <w:r w:rsidRPr="0067008A">
        <w:rPr>
          <w:sz w:val="22"/>
        </w:rPr>
        <w:t>En la estructura accionaria de la CORPORACIÓN MULTIBG S.A. la familia Lasso posee el 90,2% de las acciones del grupo (año 2021), repartidas de la siguiente manera:</w:t>
      </w:r>
    </w:p>
    <w:p w:rsidR="006A4D59" w:rsidRPr="0067008A" w:rsidRDefault="00921711" w:rsidP="00677E33">
      <w:pPr>
        <w:pStyle w:val="Prrafodelista"/>
        <w:numPr>
          <w:ilvl w:val="0"/>
          <w:numId w:val="35"/>
        </w:numPr>
        <w:spacing w:after="240" w:line="360" w:lineRule="auto"/>
        <w:contextualSpacing w:val="0"/>
        <w:jc w:val="both"/>
        <w:rPr>
          <w:sz w:val="22"/>
        </w:rPr>
      </w:pPr>
      <w:r w:rsidRPr="0067008A">
        <w:rPr>
          <w:sz w:val="22"/>
        </w:rPr>
        <w:t>Fideicomiso Mercantil de Administración GLM: 39,6%</w:t>
      </w:r>
    </w:p>
    <w:p w:rsidR="006A4D59" w:rsidRPr="0067008A" w:rsidRDefault="00921711" w:rsidP="00677E33">
      <w:pPr>
        <w:pStyle w:val="Prrafodelista"/>
        <w:numPr>
          <w:ilvl w:val="0"/>
          <w:numId w:val="35"/>
        </w:numPr>
        <w:spacing w:after="240" w:line="360" w:lineRule="auto"/>
        <w:contextualSpacing w:val="0"/>
        <w:jc w:val="both"/>
        <w:rPr>
          <w:sz w:val="22"/>
        </w:rPr>
      </w:pPr>
      <w:r w:rsidRPr="0067008A">
        <w:rPr>
          <w:sz w:val="22"/>
        </w:rPr>
        <w:t xml:space="preserve">Fideicomiso Mercantil de Administración MELM: 16,6% </w:t>
      </w:r>
    </w:p>
    <w:p w:rsidR="006A4D59" w:rsidRPr="0067008A" w:rsidRDefault="00921711" w:rsidP="00677E33">
      <w:pPr>
        <w:pStyle w:val="Prrafodelista"/>
        <w:numPr>
          <w:ilvl w:val="0"/>
          <w:numId w:val="35"/>
        </w:numPr>
        <w:spacing w:after="240" w:line="360" w:lineRule="auto"/>
        <w:contextualSpacing w:val="0"/>
        <w:jc w:val="both"/>
        <w:rPr>
          <w:sz w:val="22"/>
        </w:rPr>
      </w:pPr>
      <w:r w:rsidRPr="0067008A">
        <w:rPr>
          <w:sz w:val="22"/>
        </w:rPr>
        <w:t>Fideicomiso Mercantil de Administración CLM-MMS: 14,7%</w:t>
      </w:r>
    </w:p>
    <w:p w:rsidR="006A4D59" w:rsidRPr="0067008A" w:rsidRDefault="00921711" w:rsidP="00677E33">
      <w:pPr>
        <w:pStyle w:val="Prrafodelista"/>
        <w:numPr>
          <w:ilvl w:val="0"/>
          <w:numId w:val="35"/>
        </w:numPr>
        <w:spacing w:after="240" w:line="360" w:lineRule="auto"/>
        <w:contextualSpacing w:val="0"/>
        <w:jc w:val="both"/>
        <w:rPr>
          <w:sz w:val="22"/>
        </w:rPr>
      </w:pPr>
      <w:r w:rsidRPr="0067008A">
        <w:rPr>
          <w:sz w:val="22"/>
        </w:rPr>
        <w:t>Fideicomiso Mercantil de Administración DCD-UNO: 3,9%</w:t>
      </w:r>
    </w:p>
    <w:p w:rsidR="006A4D59" w:rsidRPr="0067008A" w:rsidRDefault="00921711" w:rsidP="00677E33">
      <w:pPr>
        <w:pStyle w:val="Prrafodelista"/>
        <w:numPr>
          <w:ilvl w:val="0"/>
          <w:numId w:val="35"/>
        </w:numPr>
        <w:spacing w:after="240" w:line="360" w:lineRule="auto"/>
        <w:contextualSpacing w:val="0"/>
        <w:jc w:val="both"/>
        <w:rPr>
          <w:sz w:val="22"/>
        </w:rPr>
      </w:pPr>
      <w:r w:rsidRPr="0067008A">
        <w:rPr>
          <w:sz w:val="22"/>
        </w:rPr>
        <w:t>Fideicomiso Mercantil de Administración DCD-DOS: 2,6%</w:t>
      </w:r>
    </w:p>
    <w:p w:rsidR="006A4D59" w:rsidRPr="0067008A" w:rsidRDefault="00921711" w:rsidP="00677E33">
      <w:pPr>
        <w:pStyle w:val="Prrafodelista"/>
        <w:numPr>
          <w:ilvl w:val="0"/>
          <w:numId w:val="35"/>
        </w:numPr>
        <w:spacing w:after="240" w:line="360" w:lineRule="auto"/>
        <w:contextualSpacing w:val="0"/>
        <w:jc w:val="both"/>
        <w:rPr>
          <w:sz w:val="22"/>
        </w:rPr>
      </w:pPr>
      <w:r w:rsidRPr="0067008A">
        <w:rPr>
          <w:sz w:val="22"/>
        </w:rPr>
        <w:t>Fideicomiso Mercantil de Administración JME: 2,6%</w:t>
      </w:r>
    </w:p>
    <w:p w:rsidR="006A4D59" w:rsidRPr="0067008A" w:rsidRDefault="00921711" w:rsidP="00677E33">
      <w:pPr>
        <w:pStyle w:val="Prrafodelista"/>
        <w:numPr>
          <w:ilvl w:val="0"/>
          <w:numId w:val="35"/>
        </w:numPr>
        <w:spacing w:after="240" w:line="360" w:lineRule="auto"/>
        <w:contextualSpacing w:val="0"/>
        <w:jc w:val="both"/>
        <w:rPr>
          <w:sz w:val="22"/>
        </w:rPr>
      </w:pPr>
      <w:r w:rsidRPr="0067008A">
        <w:rPr>
          <w:sz w:val="22"/>
        </w:rPr>
        <w:t>PROMOQUIL: 10,5%, (CORPORACIÓN MULTIBG S.A. 2021)</w:t>
      </w:r>
    </w:p>
    <w:p w:rsidR="006A4D59" w:rsidRPr="0067008A" w:rsidRDefault="00921711" w:rsidP="00677E33">
      <w:pPr>
        <w:pStyle w:val="Prrafodelista"/>
        <w:numPr>
          <w:ilvl w:val="0"/>
          <w:numId w:val="23"/>
        </w:numPr>
        <w:spacing w:after="240" w:line="360" w:lineRule="auto"/>
        <w:contextualSpacing w:val="0"/>
        <w:jc w:val="both"/>
        <w:rPr>
          <w:sz w:val="22"/>
        </w:rPr>
      </w:pPr>
      <w:r w:rsidRPr="0067008A">
        <w:rPr>
          <w:sz w:val="22"/>
        </w:rPr>
        <w:t>La CORPORACIÓN MULTIBG S.A., no tiene empleados con relación de dependencia, y tampoco tiene responsabilidades tributarias, porque han sido externalizadas a las empresas del grupo financiero. La estructura de la propiedad de la CORPORACIÓN MULTIBG S.A., se ha mantenido de la misma forma para el periodo 2013-2021, que puede advertirse en los siguientes cuadros de las Actas de la junta general ordinaria de accionistas de la CORPORACION MULTIBG S.A.:</w:t>
      </w:r>
    </w:p>
    <w:p w:rsidR="006A4D59" w:rsidRPr="0067008A" w:rsidRDefault="006A4D59" w:rsidP="00677E33">
      <w:pPr>
        <w:spacing w:after="240" w:line="360" w:lineRule="auto"/>
        <w:rPr>
          <w:rFonts w:ascii="Times New Roman" w:hAnsi="Times New Roman" w:cs="Times New Roman"/>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Acta de la Junta General Ordinaria de Accionistas de la Compañía Corporación MULTIBG S.A. celebrada el 4 de abril de 2013 en la ciudad de Guayaquil, Ecuador</w:t>
      </w:r>
    </w:p>
    <w:tbl>
      <w:tblPr>
        <w:tblW w:w="9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7124"/>
        <w:gridCol w:w="1440"/>
      </w:tblGrid>
      <w:tr w:rsidR="006A4D59" w:rsidRPr="0067008A" w:rsidTr="00CC67C2">
        <w:tc>
          <w:tcPr>
            <w:tcW w:w="9019" w:type="dxa"/>
            <w:gridSpan w:val="3"/>
            <w:shd w:val="clear" w:color="auto" w:fill="auto"/>
          </w:tcPr>
          <w:p w:rsidR="006A4D59" w:rsidRPr="00CC67C2" w:rsidRDefault="00921711" w:rsidP="00CC67C2">
            <w:pPr>
              <w:spacing w:after="240" w:line="360" w:lineRule="auto"/>
              <w:jc w:val="center"/>
              <w:rPr>
                <w:rFonts w:ascii="Times New Roman" w:eastAsia="Cambria" w:hAnsi="Times New Roman" w:cs="Times New Roman"/>
                <w:b/>
                <w:lang w:val="es-ES_tradnl" w:eastAsia="es-ES"/>
              </w:rPr>
            </w:pPr>
            <w:r w:rsidRPr="00CC67C2">
              <w:rPr>
                <w:rFonts w:ascii="Times New Roman" w:eastAsia="Cambria" w:hAnsi="Times New Roman" w:cs="Times New Roman"/>
                <w:b/>
                <w:lang w:val="es-ES_tradnl" w:eastAsia="es-ES"/>
              </w:rPr>
              <w:t>Año 2013</w:t>
            </w:r>
          </w:p>
        </w:tc>
      </w:tr>
      <w:tr w:rsidR="006A4D59" w:rsidRPr="0067008A" w:rsidTr="00CC67C2">
        <w:tc>
          <w:tcPr>
            <w:tcW w:w="455" w:type="dxa"/>
            <w:shd w:val="clear" w:color="auto" w:fill="auto"/>
          </w:tcPr>
          <w:p w:rsidR="006A4D59" w:rsidRPr="00CC67C2" w:rsidRDefault="006A4D59" w:rsidP="00CC67C2">
            <w:pPr>
              <w:spacing w:after="240" w:line="360" w:lineRule="auto"/>
              <w:rPr>
                <w:rFonts w:ascii="Times New Roman" w:eastAsia="Cambria" w:hAnsi="Times New Roman" w:cs="Times New Roman"/>
                <w:lang w:val="es-ES_tradnl" w:eastAsia="es-ES"/>
              </w:rPr>
            </w:pPr>
          </w:p>
        </w:tc>
        <w:tc>
          <w:tcPr>
            <w:tcW w:w="7124"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Accionista</w:t>
            </w:r>
          </w:p>
        </w:tc>
        <w:tc>
          <w:tcPr>
            <w:tcW w:w="1440"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No. de acciones</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w:t>
            </w:r>
          </w:p>
        </w:tc>
        <w:tc>
          <w:tcPr>
            <w:tcW w:w="7124"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GLM, representado por su fiduciaria y representante legal MMG Trust Ecuador (Gerente Ricardo Parra Cabezas)</w:t>
            </w:r>
          </w:p>
        </w:tc>
        <w:tc>
          <w:tcPr>
            <w:tcW w:w="1440"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15.704.888</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w:t>
            </w:r>
          </w:p>
        </w:tc>
        <w:tc>
          <w:tcPr>
            <w:tcW w:w="7124"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MELM, representado por su fiduciaria y representante legal MMG Trust Ecuador (Gerente Ricardo Parra Cabezas)</w:t>
            </w:r>
          </w:p>
        </w:tc>
        <w:tc>
          <w:tcPr>
            <w:tcW w:w="1440"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6.613.689</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3</w:t>
            </w:r>
          </w:p>
        </w:tc>
        <w:tc>
          <w:tcPr>
            <w:tcW w:w="7124"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CLM-MMS, representado por su fiduciaria y representante legal MMG Trust Ecuador (Gerente Ricardo Parra Cabezas)</w:t>
            </w:r>
          </w:p>
        </w:tc>
        <w:tc>
          <w:tcPr>
            <w:tcW w:w="1440"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5.850.841</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4</w:t>
            </w:r>
          </w:p>
        </w:tc>
        <w:tc>
          <w:tcPr>
            <w:tcW w:w="7124"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PROMOQUIL S.A. Representado por Juan Emilio Lasso Alcívar (Gerente General)</w:t>
            </w:r>
          </w:p>
        </w:tc>
        <w:tc>
          <w:tcPr>
            <w:tcW w:w="1440"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4.200.594</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5</w:t>
            </w:r>
          </w:p>
        </w:tc>
        <w:tc>
          <w:tcPr>
            <w:tcW w:w="7124"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ACO, representado por su apoderado Juan Fernando Noboa Baquerizo</w:t>
            </w:r>
          </w:p>
        </w:tc>
        <w:tc>
          <w:tcPr>
            <w:tcW w:w="1440"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1.760.722</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6</w:t>
            </w:r>
          </w:p>
        </w:tc>
        <w:tc>
          <w:tcPr>
            <w:tcW w:w="7124"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DCD-UNO, representado por su fiduciaria y representante legal MMG Trust Ecuador (Gerente Ricardo Parra Cabezas)</w:t>
            </w:r>
          </w:p>
        </w:tc>
        <w:tc>
          <w:tcPr>
            <w:tcW w:w="1440"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1.574.688</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7</w:t>
            </w:r>
          </w:p>
        </w:tc>
        <w:tc>
          <w:tcPr>
            <w:tcW w:w="7124"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DCD-DOS, representado por su fiduciaria y representante legal MMG Trust Ecuador (Gerente Ricardo Parra Cabezas)</w:t>
            </w:r>
          </w:p>
        </w:tc>
        <w:tc>
          <w:tcPr>
            <w:tcW w:w="1440"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1.049.792</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8</w:t>
            </w:r>
          </w:p>
        </w:tc>
        <w:tc>
          <w:tcPr>
            <w:tcW w:w="7124"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JME, representado por su apoderado Juan Fernando Noboa Baquerizo</w:t>
            </w:r>
          </w:p>
        </w:tc>
        <w:tc>
          <w:tcPr>
            <w:tcW w:w="1440"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948.081</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9</w:t>
            </w:r>
          </w:p>
        </w:tc>
        <w:tc>
          <w:tcPr>
            <w:tcW w:w="7124"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José Leopoldo Carrera Drouet por sus propios derechos</w:t>
            </w:r>
          </w:p>
        </w:tc>
        <w:tc>
          <w:tcPr>
            <w:tcW w:w="1440"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800.554</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10</w:t>
            </w:r>
          </w:p>
        </w:tc>
        <w:tc>
          <w:tcPr>
            <w:tcW w:w="7124"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CENTRO TÉCNICO ALBOTEC S.A. representada por la Sra. Rosa María Miranda de Marcos (Gerente General)</w:t>
            </w:r>
          </w:p>
        </w:tc>
        <w:tc>
          <w:tcPr>
            <w:tcW w:w="1440"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467.702</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11</w:t>
            </w:r>
          </w:p>
        </w:tc>
        <w:tc>
          <w:tcPr>
            <w:tcW w:w="7124"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Rodrigo Andrade Rodríguez por sus propios derechos</w:t>
            </w:r>
          </w:p>
        </w:tc>
        <w:tc>
          <w:tcPr>
            <w:tcW w:w="1440"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243.266</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12</w:t>
            </w:r>
          </w:p>
        </w:tc>
        <w:tc>
          <w:tcPr>
            <w:tcW w:w="7124"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 xml:space="preserve">INVERSIONES TABO S.A. representada por su apoderado Roger Arosemena Benites </w:t>
            </w:r>
          </w:p>
        </w:tc>
        <w:tc>
          <w:tcPr>
            <w:tcW w:w="1440"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110.348</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13</w:t>
            </w:r>
          </w:p>
        </w:tc>
        <w:tc>
          <w:tcPr>
            <w:tcW w:w="7124"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INVERSIONES DOGO (DOGOSA) S.A. representada por Víctor Abboud Fayad</w:t>
            </w:r>
          </w:p>
        </w:tc>
        <w:tc>
          <w:tcPr>
            <w:tcW w:w="1440"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3.358</w:t>
            </w:r>
          </w:p>
        </w:tc>
      </w:tr>
      <w:tr w:rsidR="006A4D59" w:rsidRPr="0067008A" w:rsidTr="00CC67C2">
        <w:tc>
          <w:tcPr>
            <w:tcW w:w="9019" w:type="dxa"/>
            <w:gridSpan w:val="3"/>
            <w:shd w:val="clear" w:color="auto" w:fill="auto"/>
          </w:tcPr>
          <w:p w:rsidR="006A4D59" w:rsidRPr="00CC67C2" w:rsidRDefault="00921711" w:rsidP="00CC67C2">
            <w:pPr>
              <w:spacing w:after="240" w:line="360" w:lineRule="auto"/>
              <w:rPr>
                <w:rFonts w:ascii="Times New Roman" w:eastAsia="Cambria" w:hAnsi="Times New Roman" w:cs="Times New Roman"/>
                <w:i/>
                <w:lang w:val="es-ES_tradnl" w:eastAsia="es-ES"/>
              </w:rPr>
            </w:pPr>
            <w:r w:rsidRPr="00CC67C2">
              <w:rPr>
                <w:rFonts w:ascii="Times New Roman" w:eastAsia="Cambria" w:hAnsi="Times New Roman" w:cs="Times New Roman"/>
                <w:i/>
                <w:lang w:val="es-ES_tradnl" w:eastAsia="es-ES"/>
              </w:rPr>
              <w:t>Todas las acciones son ordinarias, nominativas, y liberadas a un valor de 1 USD cada una.</w:t>
            </w:r>
          </w:p>
          <w:p w:rsidR="006A4D59" w:rsidRPr="00CC67C2" w:rsidRDefault="00921711" w:rsidP="00CC67C2">
            <w:pPr>
              <w:spacing w:after="240" w:line="360" w:lineRule="auto"/>
              <w:rPr>
                <w:rFonts w:ascii="Times New Roman" w:eastAsia="Cambria" w:hAnsi="Times New Roman" w:cs="Times New Roman"/>
                <w:i/>
                <w:lang w:val="es-ES_tradnl" w:eastAsia="es-ES"/>
              </w:rPr>
            </w:pPr>
            <w:r w:rsidRPr="00CC67C2">
              <w:rPr>
                <w:rFonts w:ascii="Times New Roman" w:eastAsia="Cambria" w:hAnsi="Times New Roman" w:cs="Times New Roman"/>
                <w:i/>
                <w:lang w:val="es-ES_tradnl" w:eastAsia="es-ES"/>
              </w:rPr>
              <w:t>Los accionistas antes descritos, representan 39.328.523 acciones, que corresponden al 98,99% del capital pagado de la Compañía.</w:t>
            </w:r>
          </w:p>
        </w:tc>
      </w:tr>
    </w:tbl>
    <w:p w:rsidR="006A4D59" w:rsidRPr="0067008A" w:rsidRDefault="00921711" w:rsidP="00677E33">
      <w:pPr>
        <w:spacing w:after="240" w:line="360" w:lineRule="auto"/>
        <w:rPr>
          <w:rFonts w:ascii="Times New Roman" w:hAnsi="Times New Roman" w:cs="Times New Roman"/>
        </w:rPr>
      </w:pPr>
      <w:r w:rsidRPr="0067008A">
        <w:rPr>
          <w:rFonts w:ascii="Times New Roman" w:hAnsi="Times New Roman" w:cs="Times New Roman"/>
        </w:rPr>
        <w:t>Fuente: (CORPORACION MULTIBG S.A. 2013)</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Acta de la Junta General Ordinaria de Accionistas de la Compañía Corporación MULTIBG S.A. celebrada el 30 de enero de 2014 en la ciudad de Guayaquil, Ecuador</w:t>
      </w:r>
    </w:p>
    <w:tbl>
      <w:tblPr>
        <w:tblW w:w="9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7072"/>
        <w:gridCol w:w="1492"/>
      </w:tblGrid>
      <w:tr w:rsidR="006A4D59" w:rsidRPr="0067008A" w:rsidTr="00CC67C2">
        <w:tc>
          <w:tcPr>
            <w:tcW w:w="9019" w:type="dxa"/>
            <w:gridSpan w:val="3"/>
            <w:shd w:val="clear" w:color="auto" w:fill="auto"/>
          </w:tcPr>
          <w:p w:rsidR="006A4D59" w:rsidRPr="00CC67C2" w:rsidRDefault="00921711" w:rsidP="00CC67C2">
            <w:pPr>
              <w:spacing w:after="240" w:line="360" w:lineRule="auto"/>
              <w:jc w:val="center"/>
              <w:rPr>
                <w:rFonts w:ascii="Times New Roman" w:eastAsia="Cambria" w:hAnsi="Times New Roman" w:cs="Times New Roman"/>
                <w:b/>
                <w:lang w:val="es-ES_tradnl" w:eastAsia="es-ES"/>
              </w:rPr>
            </w:pPr>
            <w:r w:rsidRPr="00CC67C2">
              <w:rPr>
                <w:rFonts w:ascii="Times New Roman" w:eastAsia="Cambria" w:hAnsi="Times New Roman" w:cs="Times New Roman"/>
                <w:b/>
                <w:lang w:val="es-ES_tradnl" w:eastAsia="es-ES"/>
              </w:rPr>
              <w:t>Año 2014</w:t>
            </w:r>
          </w:p>
        </w:tc>
      </w:tr>
      <w:tr w:rsidR="006A4D59" w:rsidRPr="0067008A" w:rsidTr="00CC67C2">
        <w:tc>
          <w:tcPr>
            <w:tcW w:w="455" w:type="dxa"/>
            <w:shd w:val="clear" w:color="auto" w:fill="auto"/>
          </w:tcPr>
          <w:p w:rsidR="006A4D59" w:rsidRPr="00CC67C2" w:rsidRDefault="006A4D59" w:rsidP="00CC67C2">
            <w:pPr>
              <w:spacing w:after="240" w:line="360" w:lineRule="auto"/>
              <w:rPr>
                <w:rFonts w:ascii="Times New Roman" w:eastAsia="Cambria" w:hAnsi="Times New Roman" w:cs="Times New Roman"/>
                <w:lang w:val="es-ES_tradnl" w:eastAsia="es-ES"/>
              </w:rPr>
            </w:pP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Accionista</w:t>
            </w:r>
          </w:p>
        </w:tc>
        <w:tc>
          <w:tcPr>
            <w:tcW w:w="149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No. de acciones</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GLM,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15.704.888</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MELM,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6.613.689</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3</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CLM-MMS,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5.850.841</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4</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PROMOQUIL S.A. Representado por Juan Emilio Lasso Alcívar (Gerente General)</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4.200.594</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5</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ACO,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1.760.722</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6</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DCD-UNO,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1.574.688</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7</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DCD-DOS,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1.049.792</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8</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JME,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948.081</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9</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José Leopoldo Carrera Drouet por sus propios derechos</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800.554</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10</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CENTRO TÉCNICO ALBOTEC S.A. representada por la Sra. Rosa María Miranda de Marcos (Gerente General)</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467.702</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11</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INVERSIONES DOGO (DOGOSA) S.A. representada por Víctor Abboud Fayad</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3.358</w:t>
            </w:r>
          </w:p>
        </w:tc>
      </w:tr>
      <w:tr w:rsidR="006A4D59" w:rsidRPr="0067008A" w:rsidTr="00CC67C2">
        <w:tc>
          <w:tcPr>
            <w:tcW w:w="9019" w:type="dxa"/>
            <w:gridSpan w:val="3"/>
            <w:shd w:val="clear" w:color="auto" w:fill="auto"/>
          </w:tcPr>
          <w:p w:rsidR="006A4D59" w:rsidRPr="00CC67C2" w:rsidRDefault="00921711" w:rsidP="00CC67C2">
            <w:pPr>
              <w:spacing w:after="240" w:line="360" w:lineRule="auto"/>
              <w:rPr>
                <w:rFonts w:ascii="Times New Roman" w:eastAsia="Cambria" w:hAnsi="Times New Roman" w:cs="Times New Roman"/>
                <w:i/>
                <w:lang w:val="es-ES_tradnl" w:eastAsia="es-ES"/>
              </w:rPr>
            </w:pPr>
            <w:r w:rsidRPr="00CC67C2">
              <w:rPr>
                <w:rFonts w:ascii="Times New Roman" w:eastAsia="Cambria" w:hAnsi="Times New Roman" w:cs="Times New Roman"/>
                <w:i/>
                <w:lang w:val="es-ES_tradnl" w:eastAsia="es-ES"/>
              </w:rPr>
              <w:t>Todas las acciones son ordinarias, nominativas, y liberadas a un valor de 1 USD cada una.</w:t>
            </w:r>
          </w:p>
          <w:p w:rsidR="006A4D59" w:rsidRPr="00CC67C2" w:rsidRDefault="00921711" w:rsidP="00CC67C2">
            <w:pPr>
              <w:spacing w:after="240" w:line="360" w:lineRule="auto"/>
              <w:rPr>
                <w:rFonts w:ascii="Times New Roman" w:eastAsia="Cambria" w:hAnsi="Times New Roman" w:cs="Times New Roman"/>
                <w:i/>
                <w:lang w:val="es-ES_tradnl" w:eastAsia="es-ES"/>
              </w:rPr>
            </w:pPr>
            <w:r w:rsidRPr="00CC67C2">
              <w:rPr>
                <w:rFonts w:ascii="Times New Roman" w:eastAsia="Cambria" w:hAnsi="Times New Roman" w:cs="Times New Roman"/>
                <w:i/>
                <w:lang w:val="es-ES_tradnl" w:eastAsia="es-ES"/>
              </w:rPr>
              <w:t>Los accionistas antes descritos, representan 38.974.909 acciones, que corresponden al 98,10% del capital pagado de la Compañía.</w:t>
            </w:r>
          </w:p>
        </w:tc>
      </w:tr>
    </w:tbl>
    <w:p w:rsidR="006A4D59" w:rsidRPr="0067008A" w:rsidRDefault="00921711" w:rsidP="00677E33">
      <w:pPr>
        <w:spacing w:after="240" w:line="360" w:lineRule="auto"/>
        <w:rPr>
          <w:rFonts w:ascii="Times New Roman" w:hAnsi="Times New Roman" w:cs="Times New Roman"/>
        </w:rPr>
      </w:pPr>
      <w:r w:rsidRPr="0067008A">
        <w:rPr>
          <w:rFonts w:ascii="Times New Roman" w:hAnsi="Times New Roman" w:cs="Times New Roman"/>
        </w:rPr>
        <w:t>Fuente: (CORPORACION MULTIBG S.A. 2014)</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Acta de la Junta General Ordinaria de Accionistas de la Compañía Corporación MULTIBG S.A. celebrada el 5 de febrero de 2015 en la ciudad de Guayaquil, Ecuador</w:t>
      </w:r>
    </w:p>
    <w:tbl>
      <w:tblPr>
        <w:tblW w:w="9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7072"/>
        <w:gridCol w:w="1492"/>
      </w:tblGrid>
      <w:tr w:rsidR="006A4D59" w:rsidRPr="0067008A" w:rsidTr="00CC67C2">
        <w:tc>
          <w:tcPr>
            <w:tcW w:w="9019" w:type="dxa"/>
            <w:gridSpan w:val="3"/>
            <w:shd w:val="clear" w:color="auto" w:fill="auto"/>
          </w:tcPr>
          <w:p w:rsidR="006A4D59" w:rsidRPr="00CC67C2" w:rsidRDefault="00921711" w:rsidP="00CC67C2">
            <w:pPr>
              <w:spacing w:after="240" w:line="360" w:lineRule="auto"/>
              <w:jc w:val="center"/>
              <w:rPr>
                <w:rFonts w:ascii="Times New Roman" w:eastAsia="Cambria" w:hAnsi="Times New Roman" w:cs="Times New Roman"/>
                <w:b/>
                <w:lang w:val="es-ES_tradnl" w:eastAsia="es-ES"/>
              </w:rPr>
            </w:pPr>
            <w:r w:rsidRPr="00CC67C2">
              <w:rPr>
                <w:rFonts w:ascii="Times New Roman" w:eastAsia="Cambria" w:hAnsi="Times New Roman" w:cs="Times New Roman"/>
                <w:b/>
                <w:lang w:val="es-ES_tradnl" w:eastAsia="es-ES"/>
              </w:rPr>
              <w:t>Año 2015</w:t>
            </w:r>
          </w:p>
        </w:tc>
      </w:tr>
      <w:tr w:rsidR="006A4D59" w:rsidRPr="0067008A" w:rsidTr="00CC67C2">
        <w:tc>
          <w:tcPr>
            <w:tcW w:w="455" w:type="dxa"/>
            <w:shd w:val="clear" w:color="auto" w:fill="auto"/>
          </w:tcPr>
          <w:p w:rsidR="006A4D59" w:rsidRPr="00CC67C2" w:rsidRDefault="006A4D59" w:rsidP="00CC67C2">
            <w:pPr>
              <w:spacing w:after="240" w:line="360" w:lineRule="auto"/>
              <w:rPr>
                <w:rFonts w:ascii="Times New Roman" w:eastAsia="Cambria" w:hAnsi="Times New Roman" w:cs="Times New Roman"/>
                <w:lang w:val="es-ES_tradnl" w:eastAsia="es-ES"/>
              </w:rPr>
            </w:pP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Accionista</w:t>
            </w:r>
          </w:p>
        </w:tc>
        <w:tc>
          <w:tcPr>
            <w:tcW w:w="149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No. de acciones</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GLM,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15.704.888</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MELM,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6.613.689</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3</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CLM-MMS,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5.850.841</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4</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PROMOQUIL S.A. Representado por Guillermo Enrique Lasso Alcívar</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4.200.594</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5</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ACO,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1.760.722</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6</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DCD-UNO,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1.574.688</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7</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DCD-DOS,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1.049.792</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8</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JME,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948.081</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9</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CENTRO TÉCNICO ALBOTEC S.A. representada por la Sra. Rosa María Miranda de Marcos (Gerente General)</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467.702</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10</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Rodrigo Andrade Rodríguez por sus propios derechos</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243.266</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11</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Rodrigo Mora Guzmán por sus propios derechos</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55.174</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12</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INVERSIONES DOGO (DOGOSA) S.A. representada por Víctor Abboud Fayad</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3.358</w:t>
            </w:r>
          </w:p>
        </w:tc>
      </w:tr>
      <w:tr w:rsidR="006A4D59" w:rsidRPr="0067008A" w:rsidTr="00CC67C2">
        <w:tc>
          <w:tcPr>
            <w:tcW w:w="9019" w:type="dxa"/>
            <w:gridSpan w:val="3"/>
            <w:shd w:val="clear" w:color="auto" w:fill="auto"/>
          </w:tcPr>
          <w:p w:rsidR="006A4D59" w:rsidRPr="00CC67C2" w:rsidRDefault="00921711" w:rsidP="00CC67C2">
            <w:pPr>
              <w:spacing w:after="240" w:line="360" w:lineRule="auto"/>
              <w:rPr>
                <w:rFonts w:ascii="Times New Roman" w:eastAsia="Cambria" w:hAnsi="Times New Roman" w:cs="Times New Roman"/>
                <w:i/>
                <w:lang w:val="es-ES_tradnl" w:eastAsia="es-ES"/>
              </w:rPr>
            </w:pPr>
            <w:r w:rsidRPr="00CC67C2">
              <w:rPr>
                <w:rFonts w:ascii="Times New Roman" w:eastAsia="Cambria" w:hAnsi="Times New Roman" w:cs="Times New Roman"/>
                <w:i/>
                <w:lang w:val="es-ES_tradnl" w:eastAsia="es-ES"/>
              </w:rPr>
              <w:t>Todas las acciones son ordinarias, nominativas, y liberadas a un valor de 1 USD cada una.</w:t>
            </w:r>
          </w:p>
          <w:p w:rsidR="006A4D59" w:rsidRPr="00CC67C2" w:rsidRDefault="00921711" w:rsidP="00CC67C2">
            <w:pPr>
              <w:spacing w:after="240" w:line="360" w:lineRule="auto"/>
              <w:rPr>
                <w:rFonts w:ascii="Times New Roman" w:eastAsia="Cambria" w:hAnsi="Times New Roman" w:cs="Times New Roman"/>
                <w:i/>
                <w:lang w:val="es-ES_tradnl" w:eastAsia="es-ES"/>
              </w:rPr>
            </w:pPr>
            <w:r w:rsidRPr="00CC67C2">
              <w:rPr>
                <w:rFonts w:ascii="Times New Roman" w:eastAsia="Cambria" w:hAnsi="Times New Roman" w:cs="Times New Roman"/>
                <w:i/>
                <w:lang w:val="es-ES_tradnl" w:eastAsia="es-ES"/>
              </w:rPr>
              <w:t>Los accionistas antes descritos, representan 38.527.969 acciones, que corresponden al 96,97% del capital pagado de la Compañía.</w:t>
            </w:r>
          </w:p>
        </w:tc>
      </w:tr>
    </w:tbl>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Fuente: (CORPORACION MULTIBG S.A. 2015)</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Acta de la Junta General Ordinaria de Accionistas de la Compañía Corporación MULTIBG S.A. celebrada el 4 de febrero de 2016 en la ciudad de Guayaquil, Ecuador</w:t>
      </w:r>
    </w:p>
    <w:tbl>
      <w:tblPr>
        <w:tblW w:w="9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7072"/>
        <w:gridCol w:w="1492"/>
      </w:tblGrid>
      <w:tr w:rsidR="006A4D59" w:rsidRPr="0067008A" w:rsidTr="00CC67C2">
        <w:tc>
          <w:tcPr>
            <w:tcW w:w="9019" w:type="dxa"/>
            <w:gridSpan w:val="3"/>
            <w:shd w:val="clear" w:color="auto" w:fill="auto"/>
          </w:tcPr>
          <w:p w:rsidR="006A4D59" w:rsidRPr="00CC67C2" w:rsidRDefault="00921711" w:rsidP="00CC67C2">
            <w:pPr>
              <w:spacing w:after="240" w:line="360" w:lineRule="auto"/>
              <w:jc w:val="center"/>
              <w:rPr>
                <w:rFonts w:ascii="Times New Roman" w:eastAsia="Cambria" w:hAnsi="Times New Roman" w:cs="Times New Roman"/>
                <w:b/>
                <w:lang w:val="es-ES_tradnl" w:eastAsia="es-ES"/>
              </w:rPr>
            </w:pPr>
            <w:r w:rsidRPr="00CC67C2">
              <w:rPr>
                <w:rFonts w:ascii="Times New Roman" w:eastAsia="Cambria" w:hAnsi="Times New Roman" w:cs="Times New Roman"/>
                <w:b/>
                <w:lang w:val="es-ES_tradnl" w:eastAsia="es-ES"/>
              </w:rPr>
              <w:t>Año 2016</w:t>
            </w:r>
          </w:p>
        </w:tc>
      </w:tr>
      <w:tr w:rsidR="006A4D59" w:rsidRPr="0067008A" w:rsidTr="00CC67C2">
        <w:tc>
          <w:tcPr>
            <w:tcW w:w="455" w:type="dxa"/>
            <w:shd w:val="clear" w:color="auto" w:fill="auto"/>
          </w:tcPr>
          <w:p w:rsidR="006A4D59" w:rsidRPr="00CC67C2" w:rsidRDefault="006A4D59" w:rsidP="00CC67C2">
            <w:pPr>
              <w:spacing w:after="240" w:line="360" w:lineRule="auto"/>
              <w:rPr>
                <w:rFonts w:ascii="Times New Roman" w:eastAsia="Cambria" w:hAnsi="Times New Roman" w:cs="Times New Roman"/>
                <w:lang w:val="es-ES_tradnl" w:eastAsia="es-ES"/>
              </w:rPr>
            </w:pP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Accionista</w:t>
            </w:r>
          </w:p>
        </w:tc>
        <w:tc>
          <w:tcPr>
            <w:tcW w:w="149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No. de acciones</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GLM,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15.704.888</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MELM,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6.613.689</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3</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CLM-MMS,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5.850.841</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4</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PROMOQUIL S.A. Representado por Juan Emilio Lasso, como Gerente General</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4.200.594</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5</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ACO,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1.760.722</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6</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DCD-UNO,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1.574.688</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7</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DCD-DOS,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1.049.792</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8</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JME,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948.081</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9</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CENTRO TÉCNICO ALBOTEC S.A. representada por la Sra. Rosa María Miranda de Marcos (Gerente General)</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467.702</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10</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Rodrigo Andrade Rodríguez por sus propios derechos</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243.266</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11</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Cecilia Andia de Crespo por sus propios derechos</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121.634</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12</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Rodrigo Mora Guzmán por sus propios derechos</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55.174</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13</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Luis Eduardo Crespo Andia</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40.544</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14</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INVERSIONES DOGO (DOGOSA) S.A. representada por Víctor Abboud Fayad</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3.358</w:t>
            </w:r>
          </w:p>
        </w:tc>
      </w:tr>
      <w:tr w:rsidR="006A4D59" w:rsidRPr="0067008A" w:rsidTr="00CC67C2">
        <w:tc>
          <w:tcPr>
            <w:tcW w:w="9019" w:type="dxa"/>
            <w:gridSpan w:val="3"/>
            <w:shd w:val="clear" w:color="auto" w:fill="auto"/>
          </w:tcPr>
          <w:p w:rsidR="006A4D59" w:rsidRPr="00CC67C2" w:rsidRDefault="00921711" w:rsidP="00CC67C2">
            <w:pPr>
              <w:spacing w:after="240" w:line="360" w:lineRule="auto"/>
              <w:rPr>
                <w:rFonts w:ascii="Times New Roman" w:eastAsia="Cambria" w:hAnsi="Times New Roman" w:cs="Times New Roman"/>
                <w:i/>
                <w:lang w:val="es-ES_tradnl" w:eastAsia="es-ES"/>
              </w:rPr>
            </w:pPr>
            <w:r w:rsidRPr="00CC67C2">
              <w:rPr>
                <w:rFonts w:ascii="Times New Roman" w:eastAsia="Cambria" w:hAnsi="Times New Roman" w:cs="Times New Roman"/>
                <w:i/>
                <w:lang w:val="es-ES_tradnl" w:eastAsia="es-ES"/>
              </w:rPr>
              <w:t>Todas las acciones son ordinarias, nominativas, y liberadas a un valor de 1 USD cada una.</w:t>
            </w:r>
          </w:p>
          <w:p w:rsidR="006A4D59" w:rsidRPr="00CC67C2" w:rsidRDefault="00921711" w:rsidP="00CC67C2">
            <w:pPr>
              <w:spacing w:after="240" w:line="360" w:lineRule="auto"/>
              <w:rPr>
                <w:rFonts w:ascii="Times New Roman" w:eastAsia="Cambria" w:hAnsi="Times New Roman" w:cs="Times New Roman"/>
                <w:i/>
                <w:lang w:val="es-ES_tradnl" w:eastAsia="es-ES"/>
              </w:rPr>
            </w:pPr>
            <w:r w:rsidRPr="00CC67C2">
              <w:rPr>
                <w:rFonts w:ascii="Times New Roman" w:eastAsia="Cambria" w:hAnsi="Times New Roman" w:cs="Times New Roman"/>
                <w:i/>
                <w:lang w:val="es-ES_tradnl" w:eastAsia="es-ES"/>
              </w:rPr>
              <w:t>Los accionistas antes descritos, representan 38.690.147 acciones, que corresponden al 97,38% del capital pagado de la Compañía.</w:t>
            </w:r>
          </w:p>
        </w:tc>
      </w:tr>
    </w:tbl>
    <w:p w:rsidR="006A4D59" w:rsidRPr="0067008A" w:rsidRDefault="00921711" w:rsidP="00677E33">
      <w:pPr>
        <w:spacing w:after="240" w:line="360" w:lineRule="auto"/>
        <w:rPr>
          <w:rFonts w:ascii="Times New Roman" w:hAnsi="Times New Roman" w:cs="Times New Roman"/>
        </w:rPr>
      </w:pPr>
      <w:r w:rsidRPr="0067008A">
        <w:rPr>
          <w:rFonts w:ascii="Times New Roman" w:hAnsi="Times New Roman" w:cs="Times New Roman"/>
        </w:rPr>
        <w:t>(CORPORACION MULTIBG S.A. 2016)</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Acta de la Junta General Ordinaria de Accionistas de la Compañía Corporación MULTIBG S.A. celebrada el 7 de febrero de 2017 en la ciudad de Guayaquil, Ecuador</w:t>
      </w:r>
    </w:p>
    <w:tbl>
      <w:tblPr>
        <w:tblW w:w="9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7072"/>
        <w:gridCol w:w="1492"/>
      </w:tblGrid>
      <w:tr w:rsidR="006A4D59" w:rsidRPr="0067008A" w:rsidTr="00CC67C2">
        <w:tc>
          <w:tcPr>
            <w:tcW w:w="9019" w:type="dxa"/>
            <w:gridSpan w:val="3"/>
            <w:shd w:val="clear" w:color="auto" w:fill="auto"/>
          </w:tcPr>
          <w:p w:rsidR="006A4D59" w:rsidRPr="00CC67C2" w:rsidRDefault="00921711" w:rsidP="00CC67C2">
            <w:pPr>
              <w:spacing w:after="240" w:line="360" w:lineRule="auto"/>
              <w:jc w:val="center"/>
              <w:rPr>
                <w:rFonts w:ascii="Times New Roman" w:eastAsia="Cambria" w:hAnsi="Times New Roman" w:cs="Times New Roman"/>
                <w:b/>
                <w:lang w:val="es-ES_tradnl" w:eastAsia="es-ES"/>
              </w:rPr>
            </w:pPr>
            <w:r w:rsidRPr="00CC67C2">
              <w:rPr>
                <w:rFonts w:ascii="Times New Roman" w:eastAsia="Cambria" w:hAnsi="Times New Roman" w:cs="Times New Roman"/>
                <w:b/>
                <w:lang w:val="es-ES_tradnl" w:eastAsia="es-ES"/>
              </w:rPr>
              <w:t>Año 2017</w:t>
            </w:r>
          </w:p>
        </w:tc>
      </w:tr>
      <w:tr w:rsidR="006A4D59" w:rsidRPr="0067008A" w:rsidTr="00CC67C2">
        <w:tc>
          <w:tcPr>
            <w:tcW w:w="455" w:type="dxa"/>
            <w:shd w:val="clear" w:color="auto" w:fill="auto"/>
          </w:tcPr>
          <w:p w:rsidR="006A4D59" w:rsidRPr="00CC67C2" w:rsidRDefault="006A4D59" w:rsidP="00CC67C2">
            <w:pPr>
              <w:spacing w:after="240" w:line="360" w:lineRule="auto"/>
              <w:rPr>
                <w:rFonts w:ascii="Times New Roman" w:eastAsia="Cambria" w:hAnsi="Times New Roman" w:cs="Times New Roman"/>
                <w:lang w:val="es-ES_tradnl" w:eastAsia="es-ES"/>
              </w:rPr>
            </w:pP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Accionista</w:t>
            </w:r>
          </w:p>
        </w:tc>
        <w:tc>
          <w:tcPr>
            <w:tcW w:w="149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No. de acciones</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GLM,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15.704.888</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MELM,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6.613.689</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3</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CLM-MMS,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5.850.841</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4</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PROMOQUIL S.A. Representado por Guillermo Enrique Lasso Alcívar en su calidad de Presidente</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4.200.594</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5</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ACO,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1.760.722</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6</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DCD-UNO,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1.574.688</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7</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DCD-DOS,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1.049.792</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8</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JME,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948.081</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9</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José Carrera Drouet por sus propios derechos</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800.554</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10</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CENTRO TÉCNICO ALBOTEC S.A. representada por la Sra. Rosa María Miranda de Marcos (Gerente General)</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467.702</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11</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Rodrigo Andrade Rodríguez por sus propios derechos</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243.266</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12</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Cecilia Andia de Crespo por sus propios derechos</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121.634</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13</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Rodrigo Mora Guzmán por sus propios derechos</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55.174</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14</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Luis Eduardo Crespo Andia</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40.544</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15</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INVERSIONES DOGO (DOGOSA) S.A. representada por Víctor Abboud Fayad</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3.358</w:t>
            </w:r>
          </w:p>
        </w:tc>
      </w:tr>
      <w:tr w:rsidR="006A4D59" w:rsidRPr="0067008A" w:rsidTr="00CC67C2">
        <w:tc>
          <w:tcPr>
            <w:tcW w:w="9019" w:type="dxa"/>
            <w:gridSpan w:val="3"/>
            <w:shd w:val="clear" w:color="auto" w:fill="auto"/>
          </w:tcPr>
          <w:p w:rsidR="006A4D59" w:rsidRPr="00CC67C2" w:rsidRDefault="00921711" w:rsidP="00CC67C2">
            <w:pPr>
              <w:spacing w:after="240" w:line="360" w:lineRule="auto"/>
              <w:rPr>
                <w:rFonts w:ascii="Times New Roman" w:eastAsia="Cambria" w:hAnsi="Times New Roman" w:cs="Times New Roman"/>
                <w:i/>
                <w:lang w:val="es-ES_tradnl" w:eastAsia="es-ES"/>
              </w:rPr>
            </w:pPr>
            <w:r w:rsidRPr="00CC67C2">
              <w:rPr>
                <w:rFonts w:ascii="Times New Roman" w:eastAsia="Cambria" w:hAnsi="Times New Roman" w:cs="Times New Roman"/>
                <w:i/>
                <w:lang w:val="es-ES_tradnl" w:eastAsia="es-ES"/>
              </w:rPr>
              <w:t>Todas las acciones son ordinarias, nominativas, y liberadas a un valor de 1 USD cada una.</w:t>
            </w:r>
          </w:p>
          <w:p w:rsidR="006A4D59" w:rsidRPr="00CC67C2" w:rsidRDefault="00921711" w:rsidP="00CC67C2">
            <w:pPr>
              <w:spacing w:after="240" w:line="360" w:lineRule="auto"/>
              <w:rPr>
                <w:rFonts w:ascii="Times New Roman" w:eastAsia="Cambria" w:hAnsi="Times New Roman" w:cs="Times New Roman"/>
                <w:i/>
                <w:lang w:val="es-ES_tradnl" w:eastAsia="es-ES"/>
              </w:rPr>
            </w:pPr>
            <w:r w:rsidRPr="00CC67C2">
              <w:rPr>
                <w:rFonts w:ascii="Times New Roman" w:eastAsia="Cambria" w:hAnsi="Times New Roman" w:cs="Times New Roman"/>
                <w:i/>
                <w:lang w:val="es-ES_tradnl" w:eastAsia="es-ES"/>
              </w:rPr>
              <w:t>Los accionistas antes descritos, representan 39.490.701 acciones, que corresponden al 99,39% del capital pagado de la Compañía.</w:t>
            </w:r>
          </w:p>
        </w:tc>
      </w:tr>
    </w:tbl>
    <w:p w:rsidR="006A4D59" w:rsidRPr="0067008A" w:rsidRDefault="00921711" w:rsidP="002E7BE5">
      <w:pPr>
        <w:spacing w:after="240" w:line="360" w:lineRule="auto"/>
        <w:rPr>
          <w:rFonts w:ascii="Times New Roman" w:hAnsi="Times New Roman" w:cs="Times New Roman"/>
        </w:rPr>
      </w:pPr>
      <w:r w:rsidRPr="0067008A">
        <w:rPr>
          <w:rFonts w:ascii="Times New Roman" w:hAnsi="Times New Roman" w:cs="Times New Roman"/>
        </w:rPr>
        <w:t>Fuente: (CORPORACION MULTIBG S.A. 2017)</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Acta de la Junta General Ordinaria de Accionistas de la Compañía Corporación MULTIBG S.A. celebrada el 20 de febrero de 2018 en la ciudad de Guayaquil, Ecuador</w:t>
      </w:r>
    </w:p>
    <w:tbl>
      <w:tblPr>
        <w:tblW w:w="9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7072"/>
        <w:gridCol w:w="1492"/>
      </w:tblGrid>
      <w:tr w:rsidR="006A4D59" w:rsidRPr="0067008A" w:rsidTr="00CC67C2">
        <w:tc>
          <w:tcPr>
            <w:tcW w:w="9019" w:type="dxa"/>
            <w:gridSpan w:val="3"/>
            <w:shd w:val="clear" w:color="auto" w:fill="auto"/>
          </w:tcPr>
          <w:p w:rsidR="006A4D59" w:rsidRPr="00CC67C2" w:rsidRDefault="00921711" w:rsidP="00CC67C2">
            <w:pPr>
              <w:spacing w:after="240" w:line="360" w:lineRule="auto"/>
              <w:jc w:val="center"/>
              <w:rPr>
                <w:rFonts w:ascii="Times New Roman" w:eastAsia="Cambria" w:hAnsi="Times New Roman" w:cs="Times New Roman"/>
                <w:b/>
                <w:lang w:val="es-ES_tradnl" w:eastAsia="es-ES"/>
              </w:rPr>
            </w:pPr>
            <w:r w:rsidRPr="00CC67C2">
              <w:rPr>
                <w:rFonts w:ascii="Times New Roman" w:eastAsia="Cambria" w:hAnsi="Times New Roman" w:cs="Times New Roman"/>
                <w:b/>
                <w:lang w:val="es-ES_tradnl" w:eastAsia="es-ES"/>
              </w:rPr>
              <w:t>Año 2018</w:t>
            </w:r>
          </w:p>
        </w:tc>
      </w:tr>
      <w:tr w:rsidR="006A4D59" w:rsidRPr="0067008A" w:rsidTr="00CC67C2">
        <w:tc>
          <w:tcPr>
            <w:tcW w:w="455" w:type="dxa"/>
            <w:shd w:val="clear" w:color="auto" w:fill="auto"/>
          </w:tcPr>
          <w:p w:rsidR="006A4D59" w:rsidRPr="00CC67C2" w:rsidRDefault="006A4D59" w:rsidP="00CC67C2">
            <w:pPr>
              <w:spacing w:after="240" w:line="360" w:lineRule="auto"/>
              <w:rPr>
                <w:rFonts w:ascii="Times New Roman" w:eastAsia="Cambria" w:hAnsi="Times New Roman" w:cs="Times New Roman"/>
                <w:lang w:val="es-ES_tradnl" w:eastAsia="es-ES"/>
              </w:rPr>
            </w:pP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Accionista</w:t>
            </w:r>
          </w:p>
        </w:tc>
        <w:tc>
          <w:tcPr>
            <w:tcW w:w="149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No. de acciones</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GLM,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15.704.888</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MELM,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6.613.689</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3</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CLM-MMS,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5.850.841</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4</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PROMOQUIL S.A. Representado por Guillermo Enrique Lasso Alcívar en su calidad de Presidente</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4.200.594</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5</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ACO,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1.760.722</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6</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DCD-UNO,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1.574.688</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7</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DCD-DOS,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1.049.792</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8</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JME,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948.081</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9</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José Carrera Drouet por sus propios derechos</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800.554</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10</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CENTRO TÉCNICO ALBOTEC S.A. representada por la Sra. Rosa María Miranda de Marcos (Gerente General)</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467.702</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11</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Rodrigo Andrade Rodríguez por sus propios derechos</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243.266</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12</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Cecilia Andia de Crespo por sus propios derechos</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121.634</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13</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Rodrigo Mora Guzmán por sus propios derechos</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55.174</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14</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Luis Eduardo Crespo Andia</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40.544</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15</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INVERSIONES DOGO (DOGOSA) S.A. representada por Víctor Abboud Fayad</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3.358</w:t>
            </w:r>
          </w:p>
        </w:tc>
      </w:tr>
      <w:tr w:rsidR="006A4D59" w:rsidRPr="0067008A" w:rsidTr="00CC67C2">
        <w:tc>
          <w:tcPr>
            <w:tcW w:w="9019" w:type="dxa"/>
            <w:gridSpan w:val="3"/>
            <w:shd w:val="clear" w:color="auto" w:fill="auto"/>
          </w:tcPr>
          <w:p w:rsidR="006A4D59" w:rsidRPr="00CC67C2" w:rsidRDefault="00921711" w:rsidP="00CC67C2">
            <w:pPr>
              <w:spacing w:after="240" w:line="360" w:lineRule="auto"/>
              <w:rPr>
                <w:rFonts w:ascii="Times New Roman" w:eastAsia="Cambria" w:hAnsi="Times New Roman" w:cs="Times New Roman"/>
                <w:i/>
                <w:lang w:val="es-ES_tradnl" w:eastAsia="es-ES"/>
              </w:rPr>
            </w:pPr>
            <w:r w:rsidRPr="00CC67C2">
              <w:rPr>
                <w:rFonts w:ascii="Times New Roman" w:eastAsia="Cambria" w:hAnsi="Times New Roman" w:cs="Times New Roman"/>
                <w:i/>
                <w:lang w:val="es-ES_tradnl" w:eastAsia="es-ES"/>
              </w:rPr>
              <w:t>Todas las acciones son ordinarias, nominativas, y liberadas a un valor de 1 USD cada una.</w:t>
            </w:r>
          </w:p>
          <w:p w:rsidR="006A4D59" w:rsidRPr="00CC67C2" w:rsidRDefault="00921711" w:rsidP="00CC67C2">
            <w:pPr>
              <w:spacing w:after="240" w:line="360" w:lineRule="auto"/>
              <w:rPr>
                <w:rFonts w:ascii="Times New Roman" w:eastAsia="Cambria" w:hAnsi="Times New Roman" w:cs="Times New Roman"/>
                <w:i/>
                <w:lang w:val="es-ES_tradnl" w:eastAsia="es-ES"/>
              </w:rPr>
            </w:pPr>
            <w:r w:rsidRPr="00CC67C2">
              <w:rPr>
                <w:rFonts w:ascii="Times New Roman" w:eastAsia="Cambria" w:hAnsi="Times New Roman" w:cs="Times New Roman"/>
                <w:i/>
                <w:lang w:val="es-ES_tradnl" w:eastAsia="es-ES"/>
              </w:rPr>
              <w:t>Los accionistas antes descritos, representan 39.490.701 acciones, que corresponden al 99,39% del capital pagado de la Compañía.</w:t>
            </w:r>
          </w:p>
        </w:tc>
      </w:tr>
    </w:tbl>
    <w:p w:rsidR="006A4D59" w:rsidRPr="0067008A" w:rsidRDefault="00921711" w:rsidP="00677E33">
      <w:pPr>
        <w:spacing w:after="240" w:line="360" w:lineRule="auto"/>
        <w:rPr>
          <w:rFonts w:ascii="Times New Roman" w:hAnsi="Times New Roman" w:cs="Times New Roman"/>
        </w:rPr>
      </w:pPr>
      <w:r w:rsidRPr="0067008A">
        <w:rPr>
          <w:rFonts w:ascii="Times New Roman" w:hAnsi="Times New Roman" w:cs="Times New Roman"/>
        </w:rPr>
        <w:t>Fuente: (CORPORACION MULTIBG S.A. 2018)</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Acta de la Junta General Ordinaria de Accionistas de la Compañía Corporación MULTIBG S.A. celebrada el 5 de febrero de 2019 en la ciudad de Guayaquil, Ecuador</w:t>
      </w:r>
    </w:p>
    <w:tbl>
      <w:tblPr>
        <w:tblW w:w="9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7072"/>
        <w:gridCol w:w="1492"/>
      </w:tblGrid>
      <w:tr w:rsidR="006A4D59" w:rsidRPr="0067008A" w:rsidTr="00CC67C2">
        <w:tc>
          <w:tcPr>
            <w:tcW w:w="9019" w:type="dxa"/>
            <w:gridSpan w:val="3"/>
            <w:shd w:val="clear" w:color="auto" w:fill="auto"/>
          </w:tcPr>
          <w:p w:rsidR="006A4D59" w:rsidRPr="00CC67C2" w:rsidRDefault="00921711" w:rsidP="00CC67C2">
            <w:pPr>
              <w:spacing w:after="240" w:line="360" w:lineRule="auto"/>
              <w:jc w:val="center"/>
              <w:rPr>
                <w:rFonts w:ascii="Times New Roman" w:eastAsia="Cambria" w:hAnsi="Times New Roman" w:cs="Times New Roman"/>
                <w:b/>
                <w:lang w:val="es-ES_tradnl" w:eastAsia="es-ES"/>
              </w:rPr>
            </w:pPr>
            <w:r w:rsidRPr="00CC67C2">
              <w:rPr>
                <w:rFonts w:ascii="Times New Roman" w:eastAsia="Cambria" w:hAnsi="Times New Roman" w:cs="Times New Roman"/>
                <w:b/>
                <w:lang w:val="es-ES_tradnl" w:eastAsia="es-ES"/>
              </w:rPr>
              <w:t>Año 2019</w:t>
            </w:r>
          </w:p>
        </w:tc>
      </w:tr>
      <w:tr w:rsidR="006A4D59" w:rsidRPr="0067008A" w:rsidTr="00CC67C2">
        <w:tc>
          <w:tcPr>
            <w:tcW w:w="455" w:type="dxa"/>
            <w:shd w:val="clear" w:color="auto" w:fill="auto"/>
          </w:tcPr>
          <w:p w:rsidR="006A4D59" w:rsidRPr="00CC67C2" w:rsidRDefault="006A4D59" w:rsidP="00CC67C2">
            <w:pPr>
              <w:spacing w:after="240" w:line="360" w:lineRule="auto"/>
              <w:rPr>
                <w:rFonts w:ascii="Times New Roman" w:eastAsia="Cambria" w:hAnsi="Times New Roman" w:cs="Times New Roman"/>
                <w:lang w:val="es-ES_tradnl" w:eastAsia="es-ES"/>
              </w:rPr>
            </w:pP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Accionista</w:t>
            </w:r>
          </w:p>
        </w:tc>
        <w:tc>
          <w:tcPr>
            <w:tcW w:w="149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No. de acciones</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GLM,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15.704.888</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MELM,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6.613.689</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3</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CLM-MMS,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5.850.841</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4</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PROMOQUIL S.A. Representado por Juan Emilio Lasso Alcívar en su calidad de Gerente General</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4.200.594</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5</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ACO,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1.760.722</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6</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DCD-UNO,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1.574.688</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7</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DCD-DOS,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1.049.792</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8</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JME,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948.081</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9</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José Carrera Drouet por sus propios derechos</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800.554</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10</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CENTRO TÉCNICO ALBOTEC S.A. representada por la Sra. Rosa María Miranda de Marcos (Gerente General)</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467.702</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11</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Rodrigo Andrade Rodríguez por sus propios derechos</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243.266</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12</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Cecilia Andia de Crespo por sus propios derechos</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121.634</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13</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Rodrigo Mora Guzmán por sus propios derechos</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55.174</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14</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Fernando Xavier Crespo Andia</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40.544</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15</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Luis Eduardo Crespo Andia</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40.544</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16</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INVERSIONES DOGO (DOGOSA) S.A. representada por Víctor Abboud Fayad</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3.358</w:t>
            </w:r>
          </w:p>
        </w:tc>
      </w:tr>
      <w:tr w:rsidR="006A4D59" w:rsidRPr="0067008A" w:rsidTr="00CC67C2">
        <w:tc>
          <w:tcPr>
            <w:tcW w:w="9019" w:type="dxa"/>
            <w:gridSpan w:val="3"/>
            <w:shd w:val="clear" w:color="auto" w:fill="auto"/>
          </w:tcPr>
          <w:p w:rsidR="006A4D59" w:rsidRPr="00CC67C2" w:rsidRDefault="00921711" w:rsidP="00CC67C2">
            <w:pPr>
              <w:spacing w:after="240" w:line="360" w:lineRule="auto"/>
              <w:rPr>
                <w:rFonts w:ascii="Times New Roman" w:eastAsia="Cambria" w:hAnsi="Times New Roman" w:cs="Times New Roman"/>
                <w:i/>
                <w:lang w:val="es-ES_tradnl" w:eastAsia="es-ES"/>
              </w:rPr>
            </w:pPr>
            <w:r w:rsidRPr="00CC67C2">
              <w:rPr>
                <w:rFonts w:ascii="Times New Roman" w:eastAsia="Cambria" w:hAnsi="Times New Roman" w:cs="Times New Roman"/>
                <w:i/>
                <w:lang w:val="es-ES_tradnl" w:eastAsia="es-ES"/>
              </w:rPr>
              <w:t>Todas las acciones son ordinarias, nominativas, y liberadas a un valor de 1 USD cada una.</w:t>
            </w:r>
          </w:p>
          <w:p w:rsidR="006A4D59" w:rsidRPr="00CC67C2" w:rsidRDefault="00921711" w:rsidP="00CC67C2">
            <w:pPr>
              <w:spacing w:after="240" w:line="360" w:lineRule="auto"/>
              <w:rPr>
                <w:rFonts w:ascii="Times New Roman" w:eastAsia="Cambria" w:hAnsi="Times New Roman" w:cs="Times New Roman"/>
                <w:i/>
                <w:lang w:val="es-ES_tradnl" w:eastAsia="es-ES"/>
              </w:rPr>
            </w:pPr>
            <w:r w:rsidRPr="00CC67C2">
              <w:rPr>
                <w:rFonts w:ascii="Times New Roman" w:eastAsia="Cambria" w:hAnsi="Times New Roman" w:cs="Times New Roman"/>
                <w:i/>
                <w:lang w:val="es-ES_tradnl" w:eastAsia="es-ES"/>
              </w:rPr>
              <w:t>Los accionistas antes descritos, representan 39.531.245 acciones, que corresponden al 99,50% del capital pagado de la Compañía.</w:t>
            </w:r>
          </w:p>
        </w:tc>
      </w:tr>
    </w:tbl>
    <w:p w:rsidR="006A4D59" w:rsidRPr="0067008A" w:rsidRDefault="00921711" w:rsidP="00677E33">
      <w:pPr>
        <w:spacing w:after="240" w:line="360" w:lineRule="auto"/>
        <w:rPr>
          <w:rFonts w:ascii="Times New Roman" w:hAnsi="Times New Roman" w:cs="Times New Roman"/>
        </w:rPr>
      </w:pPr>
      <w:r w:rsidRPr="0067008A">
        <w:rPr>
          <w:rFonts w:ascii="Times New Roman" w:hAnsi="Times New Roman" w:cs="Times New Roman"/>
        </w:rPr>
        <w:t>Fuente: (CORPORACION MULTIBG S.A. 2019)</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Acta de la Junta General Ordinaria de Accionistas de la Compañía Corporación MULTIBG S.A. celebrada el 4 de febrero de 2020 en la ciudad de Guayaquil, Ecuador</w:t>
      </w:r>
    </w:p>
    <w:tbl>
      <w:tblPr>
        <w:tblW w:w="9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7072"/>
        <w:gridCol w:w="1492"/>
      </w:tblGrid>
      <w:tr w:rsidR="006A4D59" w:rsidRPr="0067008A" w:rsidTr="00CC67C2">
        <w:tc>
          <w:tcPr>
            <w:tcW w:w="9019" w:type="dxa"/>
            <w:gridSpan w:val="3"/>
            <w:shd w:val="clear" w:color="auto" w:fill="auto"/>
          </w:tcPr>
          <w:p w:rsidR="006A4D59" w:rsidRPr="00CC67C2" w:rsidRDefault="00921711" w:rsidP="00CC67C2">
            <w:pPr>
              <w:spacing w:after="240" w:line="360" w:lineRule="auto"/>
              <w:jc w:val="center"/>
              <w:rPr>
                <w:rFonts w:ascii="Times New Roman" w:eastAsia="Cambria" w:hAnsi="Times New Roman" w:cs="Times New Roman"/>
                <w:b/>
                <w:lang w:val="es-ES_tradnl" w:eastAsia="es-ES"/>
              </w:rPr>
            </w:pPr>
            <w:r w:rsidRPr="00CC67C2">
              <w:rPr>
                <w:rFonts w:ascii="Times New Roman" w:eastAsia="Cambria" w:hAnsi="Times New Roman" w:cs="Times New Roman"/>
                <w:b/>
                <w:lang w:val="es-ES_tradnl" w:eastAsia="es-ES"/>
              </w:rPr>
              <w:t>Año 2020</w:t>
            </w:r>
          </w:p>
        </w:tc>
      </w:tr>
      <w:tr w:rsidR="006A4D59" w:rsidRPr="0067008A" w:rsidTr="00CC67C2">
        <w:tc>
          <w:tcPr>
            <w:tcW w:w="455" w:type="dxa"/>
            <w:shd w:val="clear" w:color="auto" w:fill="auto"/>
          </w:tcPr>
          <w:p w:rsidR="006A4D59" w:rsidRPr="00CC67C2" w:rsidRDefault="006A4D59" w:rsidP="00CC67C2">
            <w:pPr>
              <w:spacing w:after="240" w:line="360" w:lineRule="auto"/>
              <w:rPr>
                <w:rFonts w:ascii="Times New Roman" w:eastAsia="Cambria" w:hAnsi="Times New Roman" w:cs="Times New Roman"/>
                <w:lang w:val="es-ES_tradnl" w:eastAsia="es-ES"/>
              </w:rPr>
            </w:pP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Accionista</w:t>
            </w:r>
          </w:p>
        </w:tc>
        <w:tc>
          <w:tcPr>
            <w:tcW w:w="149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No. de acciones</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GLM,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15.745.432</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MELM,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6.613.689</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3</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CLM-MMS,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5.850.841</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4</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PROMOQUIL S.A. Representado por Guillermo Enrique Lasso Alcívar en su calidad de Presidente</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4.200.594</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5</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ACO,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1.760.722</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6</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DCD-UNO,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1.574.688</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7</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DCD-DOS,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1.049.792</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8</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JME,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948.081</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9</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José Carrera Drouet por sus propios derechos</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800.554</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10</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CENTRO TÉCNICO ALBOTEC S.A. representada por la Sra. Rosa María Miranda de Marcos (Gerente General)</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467.702</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11</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Rodrigo Andrade Rodríguez por sus propios derechos</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243.266</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12</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Cecilia Andia de Crespo por sus propios derechos</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121.634</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13</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Rodrigo Mora Guzmán por sus propios derechos</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55.174</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14</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Luis Eduardo Crespo Andia</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40.544</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15</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INVERSIONES DOGO (DOGOSA) S.A. representada por Víctor Abboud Fayad</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3.358</w:t>
            </w:r>
          </w:p>
        </w:tc>
      </w:tr>
      <w:tr w:rsidR="006A4D59" w:rsidRPr="0067008A" w:rsidTr="00CC67C2">
        <w:tc>
          <w:tcPr>
            <w:tcW w:w="9019" w:type="dxa"/>
            <w:gridSpan w:val="3"/>
            <w:shd w:val="clear" w:color="auto" w:fill="auto"/>
          </w:tcPr>
          <w:p w:rsidR="006A4D59" w:rsidRPr="00CC67C2" w:rsidRDefault="00921711" w:rsidP="00CC67C2">
            <w:pPr>
              <w:spacing w:after="240" w:line="360" w:lineRule="auto"/>
              <w:rPr>
                <w:rFonts w:ascii="Times New Roman" w:eastAsia="Cambria" w:hAnsi="Times New Roman" w:cs="Times New Roman"/>
                <w:i/>
                <w:lang w:val="es-ES_tradnl" w:eastAsia="es-ES"/>
              </w:rPr>
            </w:pPr>
            <w:r w:rsidRPr="00CC67C2">
              <w:rPr>
                <w:rFonts w:ascii="Times New Roman" w:eastAsia="Cambria" w:hAnsi="Times New Roman" w:cs="Times New Roman"/>
                <w:i/>
                <w:lang w:val="es-ES_tradnl" w:eastAsia="es-ES"/>
              </w:rPr>
              <w:t>Todas las acciones son ordinarias, nominativas, y liberadas a un valor de 1 USD cada una.</w:t>
            </w:r>
          </w:p>
          <w:p w:rsidR="006A4D59" w:rsidRPr="00CC67C2" w:rsidRDefault="00921711" w:rsidP="00CC67C2">
            <w:pPr>
              <w:spacing w:after="240" w:line="360" w:lineRule="auto"/>
              <w:rPr>
                <w:rFonts w:ascii="Times New Roman" w:eastAsia="Cambria" w:hAnsi="Times New Roman" w:cs="Times New Roman"/>
                <w:i/>
                <w:lang w:val="es-ES_tradnl" w:eastAsia="es-ES"/>
              </w:rPr>
            </w:pPr>
            <w:r w:rsidRPr="00CC67C2">
              <w:rPr>
                <w:rFonts w:ascii="Times New Roman" w:eastAsia="Cambria" w:hAnsi="Times New Roman" w:cs="Times New Roman"/>
                <w:i/>
                <w:lang w:val="es-ES_tradnl" w:eastAsia="es-ES"/>
              </w:rPr>
              <w:t>Los accionistas antes descritos, representan 39.531.245 acciones, que corresponden al 99,50% del capital pagado de la Compañía.</w:t>
            </w:r>
          </w:p>
        </w:tc>
      </w:tr>
    </w:tbl>
    <w:p w:rsidR="006A4D59" w:rsidRPr="0067008A" w:rsidRDefault="00921711" w:rsidP="00677E33">
      <w:pPr>
        <w:spacing w:after="240" w:line="360" w:lineRule="auto"/>
        <w:rPr>
          <w:rFonts w:ascii="Times New Roman" w:hAnsi="Times New Roman" w:cs="Times New Roman"/>
        </w:rPr>
      </w:pPr>
      <w:r w:rsidRPr="0067008A">
        <w:rPr>
          <w:rFonts w:ascii="Times New Roman" w:hAnsi="Times New Roman" w:cs="Times New Roman"/>
        </w:rPr>
        <w:t>Fuente: (CORPORACION MULTIBG S.A. 2020)</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Acta de la Junta General Ordinaria de Accionistas de la Compañía Corporación MULTIBG S.A. celebrada el 18 de febrero de 2021 en la ciudad de Guayaquil, Ecuador</w:t>
      </w:r>
    </w:p>
    <w:tbl>
      <w:tblPr>
        <w:tblW w:w="9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7072"/>
        <w:gridCol w:w="1492"/>
      </w:tblGrid>
      <w:tr w:rsidR="006A4D59" w:rsidRPr="0067008A" w:rsidTr="00CC67C2">
        <w:tc>
          <w:tcPr>
            <w:tcW w:w="9019" w:type="dxa"/>
            <w:gridSpan w:val="3"/>
            <w:shd w:val="clear" w:color="auto" w:fill="auto"/>
          </w:tcPr>
          <w:p w:rsidR="006A4D59" w:rsidRPr="00CC67C2" w:rsidRDefault="00921711" w:rsidP="00CC67C2">
            <w:pPr>
              <w:spacing w:after="240" w:line="360" w:lineRule="auto"/>
              <w:jc w:val="center"/>
              <w:rPr>
                <w:rFonts w:ascii="Times New Roman" w:eastAsia="Cambria" w:hAnsi="Times New Roman" w:cs="Times New Roman"/>
                <w:b/>
                <w:lang w:val="es-ES_tradnl" w:eastAsia="es-ES"/>
              </w:rPr>
            </w:pPr>
            <w:r w:rsidRPr="00CC67C2">
              <w:rPr>
                <w:rFonts w:ascii="Times New Roman" w:eastAsia="Cambria" w:hAnsi="Times New Roman" w:cs="Times New Roman"/>
                <w:b/>
                <w:lang w:val="es-ES_tradnl" w:eastAsia="es-ES"/>
              </w:rPr>
              <w:t>Año 2021</w:t>
            </w:r>
          </w:p>
        </w:tc>
      </w:tr>
      <w:tr w:rsidR="006A4D59" w:rsidRPr="0067008A" w:rsidTr="00CC67C2">
        <w:tc>
          <w:tcPr>
            <w:tcW w:w="455" w:type="dxa"/>
            <w:shd w:val="clear" w:color="auto" w:fill="auto"/>
          </w:tcPr>
          <w:p w:rsidR="006A4D59" w:rsidRPr="00CC67C2" w:rsidRDefault="006A4D59" w:rsidP="00CC67C2">
            <w:pPr>
              <w:spacing w:after="240" w:line="360" w:lineRule="auto"/>
              <w:rPr>
                <w:rFonts w:ascii="Times New Roman" w:eastAsia="Cambria" w:hAnsi="Times New Roman" w:cs="Times New Roman"/>
                <w:lang w:val="es-ES_tradnl" w:eastAsia="es-ES"/>
              </w:rPr>
            </w:pP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Accionista</w:t>
            </w:r>
          </w:p>
        </w:tc>
        <w:tc>
          <w:tcPr>
            <w:tcW w:w="149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No. de acciones</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GLM,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15.745.432</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MELM,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6.613.689</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3</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CLM-MMS,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5.850.841</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4</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PROMOQUIL S.A. Representado por Juan Emilio Lasso Alcívar en su calidad de Gerente General</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4.200.594</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5</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ACO,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1.760.722</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6</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DCD-UNO,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1.574.688</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7</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DCD-DOS,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1.049.792</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8</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FIDEICOMISO MERCANTIL DE ADMINISTRACIÓN JME, representado por su apoderado Juan Fernando Noboa Baquerizo</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948.081</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9</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José Carrera Drouet por sus propios derechos</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800.554</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10</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CENTRO TÉCNICO ALBOTEC S.A. representada por la Sra. Rosa María Miranda de Marcos (Gerente General)</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467.702</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13</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Rodrigo Mora Guzmán por sus propios derechos</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55.174</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14</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Luis Eduardo Crespo Andia</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40.544</w:t>
            </w:r>
          </w:p>
        </w:tc>
      </w:tr>
      <w:tr w:rsidR="006A4D59" w:rsidRPr="0067008A" w:rsidTr="00CC67C2">
        <w:tc>
          <w:tcPr>
            <w:tcW w:w="455" w:type="dxa"/>
            <w:shd w:val="clear" w:color="auto" w:fill="auto"/>
          </w:tcPr>
          <w:p w:rsidR="006A4D59" w:rsidRPr="00CC67C2" w:rsidRDefault="006A4D59" w:rsidP="00CC67C2">
            <w:pPr>
              <w:spacing w:after="240" w:line="360" w:lineRule="auto"/>
              <w:rPr>
                <w:rFonts w:ascii="Times New Roman" w:eastAsia="Cambria" w:hAnsi="Times New Roman" w:cs="Times New Roman"/>
                <w:lang w:val="es-ES_tradnl" w:eastAsia="es-ES"/>
              </w:rPr>
            </w:pP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 xml:space="preserve">R&amp;H Asociados Casa de Valores R&amp;HVAL S.A. representada por Víctor Abboud Fayad </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3.240</w:t>
            </w:r>
          </w:p>
        </w:tc>
      </w:tr>
      <w:tr w:rsidR="006A4D59" w:rsidRPr="0067008A" w:rsidTr="00CC67C2">
        <w:tc>
          <w:tcPr>
            <w:tcW w:w="455"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15</w:t>
            </w:r>
          </w:p>
        </w:tc>
        <w:tc>
          <w:tcPr>
            <w:tcW w:w="7072" w:type="dxa"/>
            <w:shd w:val="clear" w:color="auto" w:fill="auto"/>
          </w:tcPr>
          <w:p w:rsidR="006A4D59" w:rsidRPr="00CC67C2" w:rsidRDefault="00921711" w:rsidP="00CC67C2">
            <w:pPr>
              <w:spacing w:after="240" w:line="360" w:lineRule="auto"/>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INVERSIONES DOGO (DOGOSA) S.A. representada por Víctor Abboud Fayad</w:t>
            </w:r>
          </w:p>
        </w:tc>
        <w:tc>
          <w:tcPr>
            <w:tcW w:w="149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118</w:t>
            </w:r>
          </w:p>
        </w:tc>
      </w:tr>
      <w:tr w:rsidR="006A4D59" w:rsidRPr="0067008A" w:rsidTr="00CC67C2">
        <w:tc>
          <w:tcPr>
            <w:tcW w:w="9019" w:type="dxa"/>
            <w:gridSpan w:val="3"/>
            <w:shd w:val="clear" w:color="auto" w:fill="auto"/>
          </w:tcPr>
          <w:p w:rsidR="006A4D59" w:rsidRPr="00CC67C2" w:rsidRDefault="00921711" w:rsidP="00CC67C2">
            <w:pPr>
              <w:spacing w:after="240" w:line="360" w:lineRule="auto"/>
              <w:rPr>
                <w:rFonts w:ascii="Times New Roman" w:eastAsia="Cambria" w:hAnsi="Times New Roman" w:cs="Times New Roman"/>
                <w:i/>
                <w:lang w:val="es-ES_tradnl" w:eastAsia="es-ES"/>
              </w:rPr>
            </w:pPr>
            <w:r w:rsidRPr="00CC67C2">
              <w:rPr>
                <w:rFonts w:ascii="Times New Roman" w:eastAsia="Cambria" w:hAnsi="Times New Roman" w:cs="Times New Roman"/>
                <w:i/>
                <w:lang w:val="es-ES_tradnl" w:eastAsia="es-ES"/>
              </w:rPr>
              <w:t>Todas las acciones son ordinarias, nominativas, y liberadas a un valor de 1 USD cada una.</w:t>
            </w:r>
          </w:p>
          <w:p w:rsidR="006A4D59" w:rsidRPr="00CC67C2" w:rsidRDefault="00921711" w:rsidP="00CC67C2">
            <w:pPr>
              <w:spacing w:after="240" w:line="360" w:lineRule="auto"/>
              <w:rPr>
                <w:rFonts w:ascii="Times New Roman" w:eastAsia="Cambria" w:hAnsi="Times New Roman" w:cs="Times New Roman"/>
                <w:i/>
                <w:lang w:val="es-ES_tradnl" w:eastAsia="es-ES"/>
              </w:rPr>
            </w:pPr>
            <w:r w:rsidRPr="00CC67C2">
              <w:rPr>
                <w:rFonts w:ascii="Times New Roman" w:eastAsia="Cambria" w:hAnsi="Times New Roman" w:cs="Times New Roman"/>
                <w:i/>
                <w:lang w:val="es-ES_tradnl" w:eastAsia="es-ES"/>
              </w:rPr>
              <w:t>Los accionistas antes descritos, representan 39.166.345 acciones, que corresponden al 98,58% del capital pagado de la Compañía.</w:t>
            </w:r>
          </w:p>
        </w:tc>
      </w:tr>
    </w:tbl>
    <w:p w:rsidR="006A4D59" w:rsidRPr="0067008A" w:rsidRDefault="00921711" w:rsidP="00677E33">
      <w:pPr>
        <w:spacing w:after="240" w:line="360" w:lineRule="auto"/>
        <w:rPr>
          <w:rFonts w:ascii="Times New Roman" w:hAnsi="Times New Roman" w:cs="Times New Roman"/>
        </w:rPr>
      </w:pPr>
      <w:r w:rsidRPr="0067008A">
        <w:rPr>
          <w:rFonts w:ascii="Times New Roman" w:hAnsi="Times New Roman" w:cs="Times New Roman"/>
        </w:rPr>
        <w:t>Fuente: (CORPORACION MULTIBG S.A. 2021)</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Con respecto del pago de impuesto a la renta por parte de la CORPORACIÓN MULTIBG S.A., los datos del expediente 19762 de la Superintendencia de Compañías, Valores y Seguros, dan los siguientes datos:</w:t>
      </w:r>
    </w:p>
    <w:p w:rsidR="006A4D59" w:rsidRPr="0067008A" w:rsidRDefault="00921711" w:rsidP="00677E33">
      <w:pPr>
        <w:pStyle w:val="Descripcin"/>
        <w:spacing w:after="240" w:line="360" w:lineRule="auto"/>
        <w:rPr>
          <w:rFonts w:ascii="Times New Roman" w:hAnsi="Times New Roman" w:cs="Times New Roman"/>
          <w:sz w:val="22"/>
          <w:szCs w:val="22"/>
        </w:rPr>
      </w:pPr>
      <w:r w:rsidRPr="0067008A">
        <w:rPr>
          <w:rFonts w:ascii="Times New Roman" w:hAnsi="Times New Roman" w:cs="Times New Roman"/>
          <w:sz w:val="22"/>
          <w:szCs w:val="22"/>
        </w:rPr>
        <w:t xml:space="preserve">Tabla </w:t>
      </w:r>
      <w:r w:rsidRPr="0067008A">
        <w:rPr>
          <w:rFonts w:ascii="Times New Roman" w:hAnsi="Times New Roman" w:cs="Times New Roman"/>
          <w:sz w:val="22"/>
          <w:szCs w:val="22"/>
        </w:rPr>
        <w:fldChar w:fldCharType="begin"/>
      </w:r>
      <w:r w:rsidRPr="0067008A">
        <w:rPr>
          <w:rFonts w:ascii="Times New Roman" w:hAnsi="Times New Roman" w:cs="Times New Roman"/>
          <w:sz w:val="22"/>
          <w:szCs w:val="22"/>
        </w:rPr>
        <w:instrText>SEQ Tabla \* ARABIC</w:instrText>
      </w:r>
      <w:r w:rsidRPr="0067008A">
        <w:rPr>
          <w:rFonts w:ascii="Times New Roman" w:hAnsi="Times New Roman" w:cs="Times New Roman"/>
          <w:sz w:val="22"/>
          <w:szCs w:val="22"/>
        </w:rPr>
        <w:fldChar w:fldCharType="separate"/>
      </w:r>
      <w:r w:rsidR="0029216E" w:rsidRPr="0067008A">
        <w:rPr>
          <w:rFonts w:ascii="Times New Roman" w:hAnsi="Times New Roman" w:cs="Times New Roman"/>
          <w:noProof/>
          <w:sz w:val="22"/>
          <w:szCs w:val="22"/>
        </w:rPr>
        <w:t>1</w:t>
      </w:r>
      <w:r w:rsidRPr="0067008A">
        <w:rPr>
          <w:rFonts w:ascii="Times New Roman" w:hAnsi="Times New Roman" w:cs="Times New Roman"/>
          <w:sz w:val="22"/>
          <w:szCs w:val="22"/>
        </w:rPr>
        <w:fldChar w:fldCharType="end"/>
      </w:r>
      <w:r w:rsidRPr="0067008A">
        <w:rPr>
          <w:rFonts w:ascii="Times New Roman" w:hAnsi="Times New Roman" w:cs="Times New Roman"/>
          <w:sz w:val="22"/>
          <w:szCs w:val="22"/>
        </w:rPr>
        <w:t xml:space="preserve"> Ganancias de la Corporación MULTIBG S.A. y pago del impuesto a la renta, 2010-2020, en USD</w:t>
      </w:r>
    </w:p>
    <w:tbl>
      <w:tblPr>
        <w:tblW w:w="5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696"/>
        <w:gridCol w:w="2362"/>
        <w:gridCol w:w="2101"/>
      </w:tblGrid>
      <w:tr w:rsidR="006A4D59" w:rsidRPr="0067008A" w:rsidTr="00CC67C2">
        <w:tc>
          <w:tcPr>
            <w:tcW w:w="456" w:type="dxa"/>
            <w:shd w:val="clear" w:color="auto" w:fill="auto"/>
          </w:tcPr>
          <w:p w:rsidR="006A4D59" w:rsidRPr="00CC67C2" w:rsidRDefault="006A4D59" w:rsidP="00CC67C2">
            <w:pPr>
              <w:spacing w:after="240" w:line="360" w:lineRule="auto"/>
              <w:jc w:val="both"/>
              <w:rPr>
                <w:rFonts w:ascii="Times New Roman" w:eastAsia="Cambria" w:hAnsi="Times New Roman" w:cs="Times New Roman"/>
                <w:lang w:val="es-ES_tradnl" w:eastAsia="es-ES"/>
              </w:rPr>
            </w:pPr>
          </w:p>
        </w:tc>
        <w:tc>
          <w:tcPr>
            <w:tcW w:w="696"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Año</w:t>
            </w:r>
          </w:p>
        </w:tc>
        <w:tc>
          <w:tcPr>
            <w:tcW w:w="2362"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Ganancia del ejercicio</w:t>
            </w:r>
          </w:p>
        </w:tc>
        <w:tc>
          <w:tcPr>
            <w:tcW w:w="2101"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Impuesto a la renta pagado</w:t>
            </w:r>
          </w:p>
        </w:tc>
      </w:tr>
      <w:tr w:rsidR="006A4D59" w:rsidRPr="0067008A" w:rsidTr="00CC67C2">
        <w:tc>
          <w:tcPr>
            <w:tcW w:w="456"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w:t>
            </w:r>
          </w:p>
        </w:tc>
        <w:tc>
          <w:tcPr>
            <w:tcW w:w="696"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2010</w:t>
            </w:r>
          </w:p>
        </w:tc>
        <w:tc>
          <w:tcPr>
            <w:tcW w:w="236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10.220.503</w:t>
            </w:r>
          </w:p>
        </w:tc>
        <w:tc>
          <w:tcPr>
            <w:tcW w:w="2101" w:type="dxa"/>
            <w:shd w:val="clear" w:color="auto" w:fill="auto"/>
          </w:tcPr>
          <w:p w:rsidR="006A4D59" w:rsidRPr="00CC67C2" w:rsidRDefault="00921711" w:rsidP="00CC67C2">
            <w:pPr>
              <w:spacing w:after="240" w:line="360" w:lineRule="auto"/>
              <w:jc w:val="center"/>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0</w:t>
            </w:r>
          </w:p>
        </w:tc>
      </w:tr>
      <w:tr w:rsidR="006A4D59" w:rsidRPr="0067008A" w:rsidTr="00CC67C2">
        <w:tc>
          <w:tcPr>
            <w:tcW w:w="456"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w:t>
            </w:r>
          </w:p>
        </w:tc>
        <w:tc>
          <w:tcPr>
            <w:tcW w:w="696"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2011</w:t>
            </w:r>
          </w:p>
        </w:tc>
        <w:tc>
          <w:tcPr>
            <w:tcW w:w="236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14.618.407</w:t>
            </w:r>
          </w:p>
        </w:tc>
        <w:tc>
          <w:tcPr>
            <w:tcW w:w="2101" w:type="dxa"/>
            <w:shd w:val="clear" w:color="auto" w:fill="auto"/>
          </w:tcPr>
          <w:p w:rsidR="006A4D59" w:rsidRPr="00CC67C2" w:rsidRDefault="00921711" w:rsidP="00CC67C2">
            <w:pPr>
              <w:spacing w:after="240" w:line="360" w:lineRule="auto"/>
              <w:jc w:val="center"/>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0</w:t>
            </w:r>
          </w:p>
        </w:tc>
      </w:tr>
      <w:tr w:rsidR="006A4D59" w:rsidRPr="0067008A" w:rsidTr="00CC67C2">
        <w:tc>
          <w:tcPr>
            <w:tcW w:w="456"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3</w:t>
            </w:r>
          </w:p>
        </w:tc>
        <w:tc>
          <w:tcPr>
            <w:tcW w:w="696"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2012</w:t>
            </w:r>
          </w:p>
        </w:tc>
        <w:tc>
          <w:tcPr>
            <w:tcW w:w="236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12.689.526</w:t>
            </w:r>
          </w:p>
        </w:tc>
        <w:tc>
          <w:tcPr>
            <w:tcW w:w="2101" w:type="dxa"/>
            <w:shd w:val="clear" w:color="auto" w:fill="auto"/>
          </w:tcPr>
          <w:p w:rsidR="006A4D59" w:rsidRPr="00CC67C2" w:rsidRDefault="00921711" w:rsidP="00CC67C2">
            <w:pPr>
              <w:spacing w:after="240" w:line="360" w:lineRule="auto"/>
              <w:jc w:val="center"/>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0</w:t>
            </w:r>
          </w:p>
        </w:tc>
      </w:tr>
      <w:tr w:rsidR="006A4D59" w:rsidRPr="0067008A" w:rsidTr="00CC67C2">
        <w:tc>
          <w:tcPr>
            <w:tcW w:w="456"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4</w:t>
            </w:r>
          </w:p>
        </w:tc>
        <w:tc>
          <w:tcPr>
            <w:tcW w:w="696"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2013</w:t>
            </w:r>
          </w:p>
        </w:tc>
        <w:tc>
          <w:tcPr>
            <w:tcW w:w="236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9.310.041</w:t>
            </w:r>
          </w:p>
        </w:tc>
        <w:tc>
          <w:tcPr>
            <w:tcW w:w="2101" w:type="dxa"/>
            <w:shd w:val="clear" w:color="auto" w:fill="auto"/>
          </w:tcPr>
          <w:p w:rsidR="006A4D59" w:rsidRPr="00CC67C2" w:rsidRDefault="00921711" w:rsidP="00CC67C2">
            <w:pPr>
              <w:spacing w:after="240" w:line="360" w:lineRule="auto"/>
              <w:jc w:val="center"/>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0</w:t>
            </w:r>
          </w:p>
        </w:tc>
      </w:tr>
      <w:tr w:rsidR="006A4D59" w:rsidRPr="0067008A" w:rsidTr="00CC67C2">
        <w:tc>
          <w:tcPr>
            <w:tcW w:w="456"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5</w:t>
            </w:r>
          </w:p>
        </w:tc>
        <w:tc>
          <w:tcPr>
            <w:tcW w:w="696"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2014</w:t>
            </w:r>
          </w:p>
        </w:tc>
        <w:tc>
          <w:tcPr>
            <w:tcW w:w="236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21.223.706</w:t>
            </w:r>
          </w:p>
        </w:tc>
        <w:tc>
          <w:tcPr>
            <w:tcW w:w="2101" w:type="dxa"/>
            <w:shd w:val="clear" w:color="auto" w:fill="auto"/>
          </w:tcPr>
          <w:p w:rsidR="006A4D59" w:rsidRPr="00CC67C2" w:rsidRDefault="00921711" w:rsidP="00CC67C2">
            <w:pPr>
              <w:spacing w:after="240" w:line="360" w:lineRule="auto"/>
              <w:jc w:val="center"/>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0</w:t>
            </w:r>
          </w:p>
        </w:tc>
      </w:tr>
      <w:tr w:rsidR="006A4D59" w:rsidRPr="0067008A" w:rsidTr="00CC67C2">
        <w:tc>
          <w:tcPr>
            <w:tcW w:w="456"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6</w:t>
            </w:r>
          </w:p>
        </w:tc>
        <w:tc>
          <w:tcPr>
            <w:tcW w:w="696"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2015</w:t>
            </w:r>
          </w:p>
        </w:tc>
        <w:tc>
          <w:tcPr>
            <w:tcW w:w="236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5.987.809</w:t>
            </w:r>
          </w:p>
        </w:tc>
        <w:tc>
          <w:tcPr>
            <w:tcW w:w="2101" w:type="dxa"/>
            <w:shd w:val="clear" w:color="auto" w:fill="auto"/>
          </w:tcPr>
          <w:p w:rsidR="006A4D59" w:rsidRPr="00CC67C2" w:rsidRDefault="00921711" w:rsidP="00CC67C2">
            <w:pPr>
              <w:spacing w:after="240" w:line="360" w:lineRule="auto"/>
              <w:jc w:val="center"/>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0</w:t>
            </w:r>
          </w:p>
        </w:tc>
      </w:tr>
      <w:tr w:rsidR="006A4D59" w:rsidRPr="0067008A" w:rsidTr="00CC67C2">
        <w:tc>
          <w:tcPr>
            <w:tcW w:w="456"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7</w:t>
            </w:r>
          </w:p>
        </w:tc>
        <w:tc>
          <w:tcPr>
            <w:tcW w:w="696"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2016</w:t>
            </w:r>
          </w:p>
        </w:tc>
        <w:tc>
          <w:tcPr>
            <w:tcW w:w="236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-681.947</w:t>
            </w:r>
          </w:p>
        </w:tc>
        <w:tc>
          <w:tcPr>
            <w:tcW w:w="2101" w:type="dxa"/>
            <w:shd w:val="clear" w:color="auto" w:fill="auto"/>
          </w:tcPr>
          <w:p w:rsidR="006A4D59" w:rsidRPr="00CC67C2" w:rsidRDefault="00921711" w:rsidP="00CC67C2">
            <w:pPr>
              <w:spacing w:after="240" w:line="360" w:lineRule="auto"/>
              <w:jc w:val="center"/>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0</w:t>
            </w:r>
          </w:p>
        </w:tc>
      </w:tr>
      <w:tr w:rsidR="006A4D59" w:rsidRPr="0067008A" w:rsidTr="00CC67C2">
        <w:tc>
          <w:tcPr>
            <w:tcW w:w="456"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8</w:t>
            </w:r>
          </w:p>
        </w:tc>
        <w:tc>
          <w:tcPr>
            <w:tcW w:w="696"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2017</w:t>
            </w:r>
          </w:p>
        </w:tc>
        <w:tc>
          <w:tcPr>
            <w:tcW w:w="236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7.980.949</w:t>
            </w:r>
          </w:p>
        </w:tc>
        <w:tc>
          <w:tcPr>
            <w:tcW w:w="2101" w:type="dxa"/>
            <w:shd w:val="clear" w:color="auto" w:fill="auto"/>
          </w:tcPr>
          <w:p w:rsidR="006A4D59" w:rsidRPr="00CC67C2" w:rsidRDefault="00921711" w:rsidP="00CC67C2">
            <w:pPr>
              <w:spacing w:after="240" w:line="360" w:lineRule="auto"/>
              <w:jc w:val="center"/>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0</w:t>
            </w:r>
          </w:p>
        </w:tc>
      </w:tr>
      <w:tr w:rsidR="006A4D59" w:rsidRPr="0067008A" w:rsidTr="00CC67C2">
        <w:tc>
          <w:tcPr>
            <w:tcW w:w="456"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9</w:t>
            </w:r>
          </w:p>
        </w:tc>
        <w:tc>
          <w:tcPr>
            <w:tcW w:w="696"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2018</w:t>
            </w:r>
          </w:p>
        </w:tc>
        <w:tc>
          <w:tcPr>
            <w:tcW w:w="236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22.156.082</w:t>
            </w:r>
          </w:p>
        </w:tc>
        <w:tc>
          <w:tcPr>
            <w:tcW w:w="2101" w:type="dxa"/>
            <w:shd w:val="clear" w:color="auto" w:fill="auto"/>
          </w:tcPr>
          <w:p w:rsidR="006A4D59" w:rsidRPr="00CC67C2" w:rsidRDefault="00921711" w:rsidP="00CC67C2">
            <w:pPr>
              <w:spacing w:after="240" w:line="360" w:lineRule="auto"/>
              <w:jc w:val="center"/>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0</w:t>
            </w:r>
          </w:p>
        </w:tc>
      </w:tr>
      <w:tr w:rsidR="006A4D59" w:rsidRPr="0067008A" w:rsidTr="00CC67C2">
        <w:tc>
          <w:tcPr>
            <w:tcW w:w="456"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10</w:t>
            </w:r>
          </w:p>
        </w:tc>
        <w:tc>
          <w:tcPr>
            <w:tcW w:w="696"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2019</w:t>
            </w:r>
          </w:p>
        </w:tc>
        <w:tc>
          <w:tcPr>
            <w:tcW w:w="236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25.818.256</w:t>
            </w:r>
          </w:p>
        </w:tc>
        <w:tc>
          <w:tcPr>
            <w:tcW w:w="2101" w:type="dxa"/>
            <w:shd w:val="clear" w:color="auto" w:fill="auto"/>
          </w:tcPr>
          <w:p w:rsidR="006A4D59" w:rsidRPr="00CC67C2" w:rsidRDefault="00921711" w:rsidP="00CC67C2">
            <w:pPr>
              <w:spacing w:after="240" w:line="360" w:lineRule="auto"/>
              <w:jc w:val="center"/>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0</w:t>
            </w:r>
          </w:p>
        </w:tc>
      </w:tr>
      <w:tr w:rsidR="006A4D59" w:rsidRPr="0067008A" w:rsidTr="00CC67C2">
        <w:tc>
          <w:tcPr>
            <w:tcW w:w="456"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11</w:t>
            </w:r>
          </w:p>
        </w:tc>
        <w:tc>
          <w:tcPr>
            <w:tcW w:w="696"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2020</w:t>
            </w:r>
          </w:p>
        </w:tc>
        <w:tc>
          <w:tcPr>
            <w:tcW w:w="2362" w:type="dxa"/>
            <w:shd w:val="clear" w:color="auto" w:fill="auto"/>
          </w:tcPr>
          <w:p w:rsidR="006A4D59" w:rsidRPr="00CC67C2" w:rsidRDefault="00921711" w:rsidP="00CC67C2">
            <w:pPr>
              <w:spacing w:after="240" w:line="360" w:lineRule="auto"/>
              <w:jc w:val="right"/>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25.077.332</w:t>
            </w:r>
          </w:p>
        </w:tc>
        <w:tc>
          <w:tcPr>
            <w:tcW w:w="2101" w:type="dxa"/>
            <w:shd w:val="clear" w:color="auto" w:fill="auto"/>
          </w:tcPr>
          <w:p w:rsidR="006A4D59" w:rsidRPr="00CC67C2" w:rsidRDefault="00921711" w:rsidP="00CC67C2">
            <w:pPr>
              <w:spacing w:after="240" w:line="360" w:lineRule="auto"/>
              <w:jc w:val="center"/>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0</w:t>
            </w:r>
          </w:p>
        </w:tc>
      </w:tr>
    </w:tbl>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Fuente: (Superintendencia de Compañías 2021)</w:t>
      </w:r>
    </w:p>
    <w:p w:rsidR="006A4D59" w:rsidRPr="0067008A" w:rsidRDefault="00921711" w:rsidP="00677E33">
      <w:pPr>
        <w:spacing w:after="240" w:line="360" w:lineRule="auto"/>
        <w:rPr>
          <w:rFonts w:ascii="Times New Roman" w:hAnsi="Times New Roman" w:cs="Times New Roman"/>
        </w:rPr>
      </w:pPr>
      <w:r w:rsidRPr="0067008A">
        <w:rPr>
          <w:rFonts w:ascii="Times New Roman" w:hAnsi="Times New Roman" w:cs="Times New Roman"/>
        </w:rPr>
        <w:t>Pueden establecerse algunas conclusiones provisionales sobre esta parte del análisis:</w:t>
      </w:r>
    </w:p>
    <w:p w:rsidR="006A4D59" w:rsidRPr="0067008A" w:rsidRDefault="00921711" w:rsidP="00677E33">
      <w:pPr>
        <w:pStyle w:val="Prrafodelista"/>
        <w:numPr>
          <w:ilvl w:val="0"/>
          <w:numId w:val="22"/>
        </w:numPr>
        <w:spacing w:after="240" w:line="360" w:lineRule="auto"/>
        <w:contextualSpacing w:val="0"/>
        <w:jc w:val="both"/>
        <w:rPr>
          <w:sz w:val="22"/>
        </w:rPr>
      </w:pPr>
      <w:r w:rsidRPr="0067008A">
        <w:rPr>
          <w:sz w:val="22"/>
        </w:rPr>
        <w:t>El grupo económico Banco de Guayaquil es un grupo familiar que tiene en Guillermo Lasso Mendoza su estructura y referencia. Guillermo Lasso Mendoza maneja él solo cerca del 40% de las acciones de la Corporación MULTIBG S.A., mientras que el resto de su familia, incluida su esposa e hijos, manejan el 50% restante. En consecuencia, ninguna decisión que el grupo adopte en materia de inversiones internas y externas, puede hacerse sin el aval, conocimiento y aprobación de Guillermo Lasso Mendoza;</w:t>
      </w:r>
    </w:p>
    <w:p w:rsidR="006A4D59" w:rsidRPr="0067008A" w:rsidRDefault="00921711" w:rsidP="00677E33">
      <w:pPr>
        <w:pStyle w:val="Prrafodelista"/>
        <w:numPr>
          <w:ilvl w:val="0"/>
          <w:numId w:val="22"/>
        </w:numPr>
        <w:spacing w:after="240" w:line="360" w:lineRule="auto"/>
        <w:contextualSpacing w:val="0"/>
        <w:jc w:val="both"/>
        <w:rPr>
          <w:sz w:val="22"/>
        </w:rPr>
      </w:pPr>
      <w:r w:rsidRPr="0067008A">
        <w:rPr>
          <w:sz w:val="22"/>
        </w:rPr>
        <w:t>El grupo casi no tiene acciones en empresas del sector real. La principal actividad económica del grupo es la intermediación financiera y bancaria. El grupo controla el tercer mayor banco privado del país, el Banco de Guayaquil, que tiene 1,37 millón de clientes de los cuales el 54,28% están en las ciudades de Guayaquil y Quito. El Banco de Guayaquil es la sociedad controladora de las empresas financieras del grupo: BANISI, Casa de Valores Multivalores BG, Administradora de fondos BG, y COLARI S.A., además posee cerca de 58 empresas más que incluyen varios fideicomisos. Todas estas empresas están bajo el control directo de sus principales accionistas. El 26 de febrero de 2021, el grupo nombró como Presidente Ejecutivo de la Corporación MULTIBG S.A. a Guillermo Enrique Lasso Alcívar, hijo de Guillermo Lasso Mendoza, por un periodo de 5 años;</w:t>
      </w:r>
    </w:p>
    <w:p w:rsidR="006A4D59" w:rsidRPr="0067008A" w:rsidRDefault="00921711" w:rsidP="00677E33">
      <w:pPr>
        <w:pStyle w:val="Prrafodelista"/>
        <w:numPr>
          <w:ilvl w:val="0"/>
          <w:numId w:val="22"/>
        </w:numPr>
        <w:spacing w:after="240" w:line="360" w:lineRule="auto"/>
        <w:contextualSpacing w:val="0"/>
        <w:jc w:val="both"/>
        <w:rPr>
          <w:sz w:val="22"/>
        </w:rPr>
      </w:pPr>
      <w:r w:rsidRPr="0067008A">
        <w:rPr>
          <w:sz w:val="22"/>
        </w:rPr>
        <w:t>En los últimos diez años, y de conformidad con las actas de las juntas generales de accionistas de la Corporación MULTIBG S.A., no han existido cambios en la estructura accionaria del grupo, lo que da cuenta que las decisiones en paraísos fiscales fueron asumidas en estos últimos diez años directamente por sus directivos y principales accionistas, entre ellos, Guillermo Lasso Mendoza;</w:t>
      </w:r>
    </w:p>
    <w:p w:rsidR="006A4D59" w:rsidRPr="0067008A" w:rsidRDefault="00921711" w:rsidP="00677E33">
      <w:pPr>
        <w:pStyle w:val="Prrafodelista"/>
        <w:numPr>
          <w:ilvl w:val="0"/>
          <w:numId w:val="22"/>
        </w:numPr>
        <w:spacing w:after="240" w:line="360" w:lineRule="auto"/>
        <w:contextualSpacing w:val="0"/>
        <w:jc w:val="both"/>
        <w:rPr>
          <w:sz w:val="22"/>
        </w:rPr>
      </w:pPr>
      <w:r w:rsidRPr="0067008A">
        <w:rPr>
          <w:sz w:val="22"/>
        </w:rPr>
        <w:t>Salvo en el año 2016, el grupo presenta importantes utilidades, con un promedio de 14,03 millones de dólares para los últimos once años. La Corporación MULTIBG S.A. nunca pagó impuesto a la renta durante ese periodo;</w:t>
      </w:r>
    </w:p>
    <w:p w:rsidR="006A4D59" w:rsidRPr="0067008A" w:rsidRDefault="00921711" w:rsidP="00677E33">
      <w:pPr>
        <w:pStyle w:val="Prrafodelista"/>
        <w:numPr>
          <w:ilvl w:val="0"/>
          <w:numId w:val="22"/>
        </w:numPr>
        <w:spacing w:after="240" w:line="360" w:lineRule="auto"/>
        <w:contextualSpacing w:val="0"/>
        <w:jc w:val="both"/>
        <w:rPr>
          <w:sz w:val="22"/>
        </w:rPr>
      </w:pPr>
      <w:r w:rsidRPr="0067008A">
        <w:rPr>
          <w:sz w:val="22"/>
        </w:rPr>
        <w:t>En el periodo 2017-2020, las actividades bancarias y la rentabilidad del Banco de Guayaquil crecieron por sobre la media de los últimos años, debido a las políticas de desregulación financiera, consolidación fiscal y remisión de deudas tributarias a los grandes grupos económicos, realizada por el gobierno de ese entonces. El accionista principal del grupo Banco de Guayaquil, Guillermo Lasso Mendoza, apoyó activamente esas políticas económicas de desregulación, liberalización y consolidación fiscal, a través de sus operadores políticos.</w:t>
      </w:r>
    </w:p>
    <w:p w:rsidR="006A4D59" w:rsidRPr="0067008A" w:rsidRDefault="00921711" w:rsidP="00677E33">
      <w:pPr>
        <w:pStyle w:val="Prrafodelista"/>
        <w:numPr>
          <w:ilvl w:val="0"/>
          <w:numId w:val="22"/>
        </w:numPr>
        <w:spacing w:after="240" w:line="360" w:lineRule="auto"/>
        <w:contextualSpacing w:val="0"/>
        <w:jc w:val="both"/>
        <w:rPr>
          <w:sz w:val="22"/>
        </w:rPr>
      </w:pPr>
      <w:r w:rsidRPr="0067008A">
        <w:rPr>
          <w:sz w:val="22"/>
        </w:rPr>
        <w:t>En los últimos siete años, el Banco de Guayaquil obtuvo utilidades netas por cerca de dos mil millones de dólares. El 80% de esas utilidades fueron transferidas a sus principales accionistas (Corporación MULTIBG S.A.). De esa transferencia, el 90,2% de esas utilidades fueron directamente a la familia Lasso Mendoza, Lasso-Alcívar.</w:t>
      </w:r>
    </w:p>
    <w:p w:rsidR="006A4D59" w:rsidRPr="0067008A" w:rsidRDefault="00921711" w:rsidP="00677E33">
      <w:pPr>
        <w:spacing w:after="240" w:line="360" w:lineRule="auto"/>
        <w:jc w:val="both"/>
        <w:rPr>
          <w:rFonts w:ascii="Times New Roman" w:hAnsi="Times New Roman" w:cs="Times New Roman"/>
          <w:b/>
        </w:rPr>
      </w:pPr>
      <w:r w:rsidRPr="0067008A">
        <w:rPr>
          <w:rFonts w:ascii="Times New Roman" w:hAnsi="Times New Roman" w:cs="Times New Roman"/>
          <w:b/>
        </w:rPr>
        <w:t>La CORPORACION MULTIBG S.A. Y EL BANCO DE GUAYAQUIL</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La Corporación MULTIBG S.A., tiene el control mayoritario de las acciones del Banco de Guayaquil, y a través de este Banco controla el Grupo Financiero Banco de Guayaquil. El control societario se demuestra en el siguiente cuadro:</w:t>
      </w:r>
    </w:p>
    <w:p w:rsidR="006A4D59" w:rsidRPr="0067008A" w:rsidRDefault="00921711" w:rsidP="00677E33">
      <w:pPr>
        <w:pStyle w:val="Descripcin"/>
        <w:spacing w:after="240" w:line="360" w:lineRule="auto"/>
        <w:rPr>
          <w:rFonts w:ascii="Times New Roman" w:hAnsi="Times New Roman" w:cs="Times New Roman"/>
          <w:sz w:val="22"/>
          <w:szCs w:val="22"/>
        </w:rPr>
      </w:pPr>
      <w:r w:rsidRPr="0067008A">
        <w:rPr>
          <w:rFonts w:ascii="Times New Roman" w:hAnsi="Times New Roman" w:cs="Times New Roman"/>
          <w:sz w:val="22"/>
          <w:szCs w:val="22"/>
        </w:rPr>
        <w:t xml:space="preserve">Tabla </w:t>
      </w:r>
      <w:r w:rsidRPr="0067008A">
        <w:rPr>
          <w:rFonts w:ascii="Times New Roman" w:hAnsi="Times New Roman" w:cs="Times New Roman"/>
          <w:sz w:val="22"/>
          <w:szCs w:val="22"/>
        </w:rPr>
        <w:fldChar w:fldCharType="begin"/>
      </w:r>
      <w:r w:rsidRPr="0067008A">
        <w:rPr>
          <w:rFonts w:ascii="Times New Roman" w:hAnsi="Times New Roman" w:cs="Times New Roman"/>
          <w:sz w:val="22"/>
          <w:szCs w:val="22"/>
        </w:rPr>
        <w:instrText>SEQ Tabla \* ARABIC</w:instrText>
      </w:r>
      <w:r w:rsidRPr="0067008A">
        <w:rPr>
          <w:rFonts w:ascii="Times New Roman" w:hAnsi="Times New Roman" w:cs="Times New Roman"/>
          <w:sz w:val="22"/>
          <w:szCs w:val="22"/>
        </w:rPr>
        <w:fldChar w:fldCharType="separate"/>
      </w:r>
      <w:r w:rsidR="0029216E" w:rsidRPr="0067008A">
        <w:rPr>
          <w:rFonts w:ascii="Times New Roman" w:hAnsi="Times New Roman" w:cs="Times New Roman"/>
          <w:noProof/>
          <w:sz w:val="22"/>
          <w:szCs w:val="22"/>
        </w:rPr>
        <w:t>2</w:t>
      </w:r>
      <w:r w:rsidRPr="0067008A">
        <w:rPr>
          <w:rFonts w:ascii="Times New Roman" w:hAnsi="Times New Roman" w:cs="Times New Roman"/>
          <w:sz w:val="22"/>
          <w:szCs w:val="22"/>
        </w:rPr>
        <w:fldChar w:fldCharType="end"/>
      </w:r>
      <w:r w:rsidRPr="0067008A">
        <w:rPr>
          <w:rFonts w:ascii="Times New Roman" w:hAnsi="Times New Roman" w:cs="Times New Roman"/>
          <w:sz w:val="22"/>
          <w:szCs w:val="22"/>
        </w:rPr>
        <w:t xml:space="preserve"> Porcentaje de propiedad de acciones del Banco de Guayaquil por parte de la Corporación MULTIBG S.A., 2006-2020</w:t>
      </w:r>
    </w:p>
    <w:tbl>
      <w:tblPr>
        <w:tblW w:w="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1183"/>
        <w:gridCol w:w="3354"/>
      </w:tblGrid>
      <w:tr w:rsidR="006A4D59" w:rsidRPr="0067008A" w:rsidTr="00CC67C2">
        <w:tc>
          <w:tcPr>
            <w:tcW w:w="455" w:type="dxa"/>
            <w:shd w:val="clear" w:color="auto" w:fill="auto"/>
          </w:tcPr>
          <w:p w:rsidR="006A4D59" w:rsidRPr="00CC67C2" w:rsidRDefault="006A4D59" w:rsidP="00CC67C2">
            <w:pPr>
              <w:spacing w:after="240" w:line="360" w:lineRule="auto"/>
              <w:jc w:val="both"/>
              <w:rPr>
                <w:rFonts w:ascii="Times New Roman" w:eastAsia="Cambria" w:hAnsi="Times New Roman" w:cs="Times New Roman"/>
                <w:lang w:val="es-ES_tradnl" w:eastAsia="es-ES"/>
              </w:rPr>
            </w:pPr>
          </w:p>
        </w:tc>
        <w:tc>
          <w:tcPr>
            <w:tcW w:w="1183"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Año</w:t>
            </w:r>
          </w:p>
        </w:tc>
        <w:tc>
          <w:tcPr>
            <w:tcW w:w="3354"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 de acciones del Banco de Guayaquil bajo control de la Corporación MULTIBG S.A.</w:t>
            </w:r>
          </w:p>
        </w:tc>
      </w:tr>
      <w:tr w:rsidR="006A4D59" w:rsidRPr="0067008A" w:rsidTr="00CC67C2">
        <w:tc>
          <w:tcPr>
            <w:tcW w:w="455"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w:t>
            </w:r>
          </w:p>
        </w:tc>
        <w:tc>
          <w:tcPr>
            <w:tcW w:w="1183"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2006</w:t>
            </w:r>
          </w:p>
        </w:tc>
        <w:tc>
          <w:tcPr>
            <w:tcW w:w="3354" w:type="dxa"/>
            <w:shd w:val="clear" w:color="auto" w:fill="auto"/>
          </w:tcPr>
          <w:p w:rsidR="006A4D59" w:rsidRPr="00CC67C2" w:rsidRDefault="00921711" w:rsidP="00CC67C2">
            <w:pPr>
              <w:spacing w:after="240" w:line="360" w:lineRule="auto"/>
              <w:jc w:val="center"/>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85,59%</w:t>
            </w:r>
          </w:p>
        </w:tc>
      </w:tr>
      <w:tr w:rsidR="006A4D59" w:rsidRPr="0067008A" w:rsidTr="00CC67C2">
        <w:tc>
          <w:tcPr>
            <w:tcW w:w="455"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w:t>
            </w:r>
          </w:p>
        </w:tc>
        <w:tc>
          <w:tcPr>
            <w:tcW w:w="1183"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2007</w:t>
            </w:r>
          </w:p>
        </w:tc>
        <w:tc>
          <w:tcPr>
            <w:tcW w:w="3354" w:type="dxa"/>
            <w:shd w:val="clear" w:color="auto" w:fill="auto"/>
          </w:tcPr>
          <w:p w:rsidR="006A4D59" w:rsidRPr="00CC67C2" w:rsidRDefault="00921711" w:rsidP="00CC67C2">
            <w:pPr>
              <w:spacing w:after="240" w:line="360" w:lineRule="auto"/>
              <w:jc w:val="center"/>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81,53%</w:t>
            </w:r>
          </w:p>
        </w:tc>
      </w:tr>
      <w:tr w:rsidR="006A4D59" w:rsidRPr="0067008A" w:rsidTr="00CC67C2">
        <w:tc>
          <w:tcPr>
            <w:tcW w:w="455"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3</w:t>
            </w:r>
          </w:p>
        </w:tc>
        <w:tc>
          <w:tcPr>
            <w:tcW w:w="1183"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2008</w:t>
            </w:r>
          </w:p>
        </w:tc>
        <w:tc>
          <w:tcPr>
            <w:tcW w:w="3354" w:type="dxa"/>
            <w:shd w:val="clear" w:color="auto" w:fill="auto"/>
          </w:tcPr>
          <w:p w:rsidR="006A4D59" w:rsidRPr="00CC67C2" w:rsidRDefault="00921711" w:rsidP="00CC67C2">
            <w:pPr>
              <w:spacing w:after="240" w:line="360" w:lineRule="auto"/>
              <w:jc w:val="center"/>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78,01%</w:t>
            </w:r>
          </w:p>
        </w:tc>
      </w:tr>
      <w:tr w:rsidR="006A4D59" w:rsidRPr="0067008A" w:rsidTr="00CC67C2">
        <w:tc>
          <w:tcPr>
            <w:tcW w:w="455"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4</w:t>
            </w:r>
          </w:p>
        </w:tc>
        <w:tc>
          <w:tcPr>
            <w:tcW w:w="1183"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2009</w:t>
            </w:r>
          </w:p>
        </w:tc>
        <w:tc>
          <w:tcPr>
            <w:tcW w:w="3354" w:type="dxa"/>
            <w:shd w:val="clear" w:color="auto" w:fill="auto"/>
          </w:tcPr>
          <w:p w:rsidR="006A4D59" w:rsidRPr="00CC67C2" w:rsidRDefault="00921711" w:rsidP="00CC67C2">
            <w:pPr>
              <w:spacing w:after="240" w:line="360" w:lineRule="auto"/>
              <w:jc w:val="center"/>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78,44%</w:t>
            </w:r>
          </w:p>
        </w:tc>
      </w:tr>
      <w:tr w:rsidR="006A4D59" w:rsidRPr="0067008A" w:rsidTr="00CC67C2">
        <w:tc>
          <w:tcPr>
            <w:tcW w:w="455"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5</w:t>
            </w:r>
          </w:p>
        </w:tc>
        <w:tc>
          <w:tcPr>
            <w:tcW w:w="1183"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2010</w:t>
            </w:r>
          </w:p>
        </w:tc>
        <w:tc>
          <w:tcPr>
            <w:tcW w:w="3354" w:type="dxa"/>
            <w:shd w:val="clear" w:color="auto" w:fill="auto"/>
          </w:tcPr>
          <w:p w:rsidR="006A4D59" w:rsidRPr="00CC67C2" w:rsidRDefault="00921711" w:rsidP="00CC67C2">
            <w:pPr>
              <w:spacing w:after="240" w:line="360" w:lineRule="auto"/>
              <w:jc w:val="center"/>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78,57%</w:t>
            </w:r>
          </w:p>
        </w:tc>
      </w:tr>
      <w:tr w:rsidR="006A4D59" w:rsidRPr="0067008A" w:rsidTr="00CC67C2">
        <w:tc>
          <w:tcPr>
            <w:tcW w:w="455"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6</w:t>
            </w:r>
          </w:p>
        </w:tc>
        <w:tc>
          <w:tcPr>
            <w:tcW w:w="1183"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2011</w:t>
            </w:r>
          </w:p>
        </w:tc>
        <w:tc>
          <w:tcPr>
            <w:tcW w:w="3354" w:type="dxa"/>
            <w:shd w:val="clear" w:color="auto" w:fill="auto"/>
          </w:tcPr>
          <w:p w:rsidR="006A4D59" w:rsidRPr="00CC67C2" w:rsidRDefault="00921711" w:rsidP="00CC67C2">
            <w:pPr>
              <w:spacing w:after="240" w:line="360" w:lineRule="auto"/>
              <w:jc w:val="center"/>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78,72%</w:t>
            </w:r>
          </w:p>
        </w:tc>
      </w:tr>
      <w:tr w:rsidR="006A4D59" w:rsidRPr="0067008A" w:rsidTr="00CC67C2">
        <w:tc>
          <w:tcPr>
            <w:tcW w:w="455"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7</w:t>
            </w:r>
          </w:p>
        </w:tc>
        <w:tc>
          <w:tcPr>
            <w:tcW w:w="1183"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2012</w:t>
            </w:r>
          </w:p>
        </w:tc>
        <w:tc>
          <w:tcPr>
            <w:tcW w:w="3354" w:type="dxa"/>
            <w:shd w:val="clear" w:color="auto" w:fill="auto"/>
          </w:tcPr>
          <w:p w:rsidR="006A4D59" w:rsidRPr="00CC67C2" w:rsidRDefault="00921711" w:rsidP="00CC67C2">
            <w:pPr>
              <w:spacing w:after="240" w:line="360" w:lineRule="auto"/>
              <w:jc w:val="center"/>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78,87%</w:t>
            </w:r>
          </w:p>
        </w:tc>
      </w:tr>
      <w:tr w:rsidR="006A4D59" w:rsidRPr="0067008A" w:rsidTr="00CC67C2">
        <w:tc>
          <w:tcPr>
            <w:tcW w:w="455"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8</w:t>
            </w:r>
          </w:p>
        </w:tc>
        <w:tc>
          <w:tcPr>
            <w:tcW w:w="1183"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2013</w:t>
            </w:r>
          </w:p>
        </w:tc>
        <w:tc>
          <w:tcPr>
            <w:tcW w:w="3354" w:type="dxa"/>
            <w:shd w:val="clear" w:color="auto" w:fill="auto"/>
          </w:tcPr>
          <w:p w:rsidR="006A4D59" w:rsidRPr="00CC67C2" w:rsidRDefault="00921711" w:rsidP="00CC67C2">
            <w:pPr>
              <w:spacing w:after="240" w:line="360" w:lineRule="auto"/>
              <w:jc w:val="center"/>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78,87%</w:t>
            </w:r>
          </w:p>
        </w:tc>
      </w:tr>
      <w:tr w:rsidR="006A4D59" w:rsidRPr="0067008A" w:rsidTr="00CC67C2">
        <w:tc>
          <w:tcPr>
            <w:tcW w:w="455"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9</w:t>
            </w:r>
          </w:p>
        </w:tc>
        <w:tc>
          <w:tcPr>
            <w:tcW w:w="1183"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2014</w:t>
            </w:r>
          </w:p>
        </w:tc>
        <w:tc>
          <w:tcPr>
            <w:tcW w:w="3354" w:type="dxa"/>
            <w:shd w:val="clear" w:color="auto" w:fill="auto"/>
          </w:tcPr>
          <w:p w:rsidR="006A4D59" w:rsidRPr="00CC67C2" w:rsidRDefault="00921711" w:rsidP="00CC67C2">
            <w:pPr>
              <w:spacing w:after="240" w:line="360" w:lineRule="auto"/>
              <w:jc w:val="center"/>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78,87%</w:t>
            </w:r>
          </w:p>
        </w:tc>
      </w:tr>
      <w:tr w:rsidR="006A4D59" w:rsidRPr="0067008A" w:rsidTr="00CC67C2">
        <w:tc>
          <w:tcPr>
            <w:tcW w:w="455"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10</w:t>
            </w:r>
          </w:p>
        </w:tc>
        <w:tc>
          <w:tcPr>
            <w:tcW w:w="1183"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2015</w:t>
            </w:r>
          </w:p>
        </w:tc>
        <w:tc>
          <w:tcPr>
            <w:tcW w:w="3354" w:type="dxa"/>
            <w:shd w:val="clear" w:color="auto" w:fill="auto"/>
          </w:tcPr>
          <w:p w:rsidR="006A4D59" w:rsidRPr="00CC67C2" w:rsidRDefault="00921711" w:rsidP="00CC67C2">
            <w:pPr>
              <w:spacing w:after="240" w:line="360" w:lineRule="auto"/>
              <w:jc w:val="center"/>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78,87%</w:t>
            </w:r>
          </w:p>
        </w:tc>
      </w:tr>
      <w:tr w:rsidR="006A4D59" w:rsidRPr="0067008A" w:rsidTr="00CC67C2">
        <w:tc>
          <w:tcPr>
            <w:tcW w:w="455"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11</w:t>
            </w:r>
          </w:p>
        </w:tc>
        <w:tc>
          <w:tcPr>
            <w:tcW w:w="1183"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2016</w:t>
            </w:r>
          </w:p>
        </w:tc>
        <w:tc>
          <w:tcPr>
            <w:tcW w:w="3354" w:type="dxa"/>
            <w:shd w:val="clear" w:color="auto" w:fill="auto"/>
          </w:tcPr>
          <w:p w:rsidR="006A4D59" w:rsidRPr="00CC67C2" w:rsidRDefault="00921711" w:rsidP="00CC67C2">
            <w:pPr>
              <w:spacing w:after="240" w:line="360" w:lineRule="auto"/>
              <w:jc w:val="center"/>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78,87%</w:t>
            </w:r>
          </w:p>
        </w:tc>
      </w:tr>
      <w:tr w:rsidR="006A4D59" w:rsidRPr="0067008A" w:rsidTr="00CC67C2">
        <w:tc>
          <w:tcPr>
            <w:tcW w:w="455"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12</w:t>
            </w:r>
          </w:p>
        </w:tc>
        <w:tc>
          <w:tcPr>
            <w:tcW w:w="1183"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2017</w:t>
            </w:r>
          </w:p>
        </w:tc>
        <w:tc>
          <w:tcPr>
            <w:tcW w:w="3354" w:type="dxa"/>
            <w:shd w:val="clear" w:color="auto" w:fill="auto"/>
          </w:tcPr>
          <w:p w:rsidR="006A4D59" w:rsidRPr="00CC67C2" w:rsidRDefault="00921711" w:rsidP="00CC67C2">
            <w:pPr>
              <w:spacing w:after="240" w:line="360" w:lineRule="auto"/>
              <w:jc w:val="center"/>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78,87%</w:t>
            </w:r>
          </w:p>
        </w:tc>
      </w:tr>
      <w:tr w:rsidR="006A4D59" w:rsidRPr="0067008A" w:rsidTr="00CC67C2">
        <w:tc>
          <w:tcPr>
            <w:tcW w:w="455"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13</w:t>
            </w:r>
          </w:p>
        </w:tc>
        <w:tc>
          <w:tcPr>
            <w:tcW w:w="1183"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2018</w:t>
            </w:r>
          </w:p>
        </w:tc>
        <w:tc>
          <w:tcPr>
            <w:tcW w:w="3354" w:type="dxa"/>
            <w:shd w:val="clear" w:color="auto" w:fill="auto"/>
          </w:tcPr>
          <w:p w:rsidR="006A4D59" w:rsidRPr="00CC67C2" w:rsidRDefault="00921711" w:rsidP="00CC67C2">
            <w:pPr>
              <w:spacing w:after="240" w:line="360" w:lineRule="auto"/>
              <w:jc w:val="center"/>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79,61%</w:t>
            </w:r>
          </w:p>
        </w:tc>
      </w:tr>
      <w:tr w:rsidR="006A4D59" w:rsidRPr="0067008A" w:rsidTr="00CC67C2">
        <w:tc>
          <w:tcPr>
            <w:tcW w:w="455"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14</w:t>
            </w:r>
          </w:p>
        </w:tc>
        <w:tc>
          <w:tcPr>
            <w:tcW w:w="1183"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2019</w:t>
            </w:r>
          </w:p>
        </w:tc>
        <w:tc>
          <w:tcPr>
            <w:tcW w:w="3354" w:type="dxa"/>
            <w:shd w:val="clear" w:color="auto" w:fill="auto"/>
          </w:tcPr>
          <w:p w:rsidR="006A4D59" w:rsidRPr="00CC67C2" w:rsidRDefault="00921711" w:rsidP="00CC67C2">
            <w:pPr>
              <w:spacing w:after="240" w:line="360" w:lineRule="auto"/>
              <w:jc w:val="center"/>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80,77%</w:t>
            </w:r>
          </w:p>
        </w:tc>
      </w:tr>
      <w:tr w:rsidR="006A4D59" w:rsidRPr="0067008A" w:rsidTr="00CC67C2">
        <w:tc>
          <w:tcPr>
            <w:tcW w:w="455"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15</w:t>
            </w:r>
          </w:p>
        </w:tc>
        <w:tc>
          <w:tcPr>
            <w:tcW w:w="1183" w:type="dxa"/>
            <w:shd w:val="clear" w:color="auto" w:fill="auto"/>
          </w:tcPr>
          <w:p w:rsidR="006A4D59" w:rsidRPr="00CC67C2" w:rsidRDefault="00921711" w:rsidP="00CC67C2">
            <w:pPr>
              <w:spacing w:after="240" w:line="360" w:lineRule="auto"/>
              <w:jc w:val="both"/>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2020</w:t>
            </w:r>
          </w:p>
        </w:tc>
        <w:tc>
          <w:tcPr>
            <w:tcW w:w="3354" w:type="dxa"/>
            <w:shd w:val="clear" w:color="auto" w:fill="auto"/>
          </w:tcPr>
          <w:p w:rsidR="006A4D59" w:rsidRPr="00CC67C2" w:rsidRDefault="00921711" w:rsidP="00CC67C2">
            <w:pPr>
              <w:spacing w:after="240" w:line="360" w:lineRule="auto"/>
              <w:jc w:val="center"/>
              <w:rPr>
                <w:rFonts w:ascii="Times New Roman" w:eastAsia="Cambria" w:hAnsi="Times New Roman" w:cs="Times New Roman"/>
                <w:lang w:val="es-ES_tradnl" w:eastAsia="es-ES"/>
              </w:rPr>
            </w:pPr>
            <w:r w:rsidRPr="00CC67C2">
              <w:rPr>
                <w:rFonts w:ascii="Times New Roman" w:eastAsia="Cambria" w:hAnsi="Times New Roman" w:cs="Times New Roman"/>
                <w:lang w:val="es-ES_tradnl" w:eastAsia="es-ES"/>
              </w:rPr>
              <w:t>80,80%</w:t>
            </w:r>
          </w:p>
        </w:tc>
      </w:tr>
    </w:tbl>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Fuente: (Superintendencia de Compañías 2021)</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El comportamiento accionario de la Corporación puede ser analizado de la siguiente manera:</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El 31 de marzo de 2011, INVERLAT INVERSIONES LATINA adjudica a su único inversionista US STRATEGIC INVESTMENT LLC, todas sus 2.708.803 acciones. En el año 2013, US STRATEGIC INVESTMENT LLC, transfirió 1.760.722 acciones al Fideicomiso Mercantil de Acciones, ACO; y, 948.081 acciones al Fideicomiso Mercantil de Acciones JME (CORPORACION MULTIBG S.A. 2011).</w:t>
      </w:r>
    </w:p>
    <w:p w:rsidR="006A4D59" w:rsidRPr="0067008A" w:rsidRDefault="006A4D59" w:rsidP="00677E33">
      <w:pPr>
        <w:spacing w:after="240" w:line="360" w:lineRule="auto"/>
        <w:jc w:val="both"/>
        <w:rPr>
          <w:rFonts w:ascii="Times New Roman" w:hAnsi="Times New Roman" w:cs="Times New Roman"/>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En el año 2012 aparecen los siguientes off shore en la composición accionaria de la Corporación MULTIBG S.A.:</w:t>
      </w:r>
    </w:p>
    <w:p w:rsidR="006A4D59" w:rsidRPr="0067008A" w:rsidRDefault="00921711" w:rsidP="00677E33">
      <w:pPr>
        <w:pStyle w:val="Prrafodelista"/>
        <w:numPr>
          <w:ilvl w:val="0"/>
          <w:numId w:val="24"/>
        </w:numPr>
        <w:spacing w:after="240" w:line="360" w:lineRule="auto"/>
        <w:contextualSpacing w:val="0"/>
        <w:jc w:val="both"/>
        <w:rPr>
          <w:sz w:val="22"/>
        </w:rPr>
      </w:pPr>
      <w:r w:rsidRPr="0067008A">
        <w:rPr>
          <w:sz w:val="22"/>
        </w:rPr>
        <w:t>CAMBRIDGE TRADE LLC</w:t>
      </w:r>
      <w:r w:rsidR="00677E33" w:rsidRPr="0067008A">
        <w:rPr>
          <w:sz w:val="22"/>
        </w:rPr>
        <w:t xml:space="preserve"> </w:t>
      </w:r>
      <w:r w:rsidRPr="0067008A">
        <w:rPr>
          <w:sz w:val="22"/>
        </w:rPr>
        <w:t>(USA) con 1.049.792 acciones;</w:t>
      </w:r>
    </w:p>
    <w:p w:rsidR="006A4D59" w:rsidRPr="0067008A" w:rsidRDefault="00921711" w:rsidP="00677E33">
      <w:pPr>
        <w:pStyle w:val="Prrafodelista"/>
        <w:numPr>
          <w:ilvl w:val="0"/>
          <w:numId w:val="24"/>
        </w:numPr>
        <w:spacing w:after="240" w:line="360" w:lineRule="auto"/>
        <w:contextualSpacing w:val="0"/>
        <w:jc w:val="both"/>
        <w:rPr>
          <w:sz w:val="22"/>
        </w:rPr>
      </w:pPr>
      <w:r w:rsidRPr="0067008A">
        <w:rPr>
          <w:sz w:val="22"/>
        </w:rPr>
        <w:t>GRANADA INTERNACIONAL LLC (USA) con 6.613.689 acciones;</w:t>
      </w:r>
    </w:p>
    <w:p w:rsidR="006A4D59" w:rsidRPr="0067008A" w:rsidRDefault="00921711" w:rsidP="00677E33">
      <w:pPr>
        <w:pStyle w:val="Prrafodelista"/>
        <w:numPr>
          <w:ilvl w:val="0"/>
          <w:numId w:val="24"/>
        </w:numPr>
        <w:spacing w:after="240" w:line="360" w:lineRule="auto"/>
        <w:contextualSpacing w:val="0"/>
        <w:jc w:val="both"/>
        <w:rPr>
          <w:sz w:val="22"/>
        </w:rPr>
      </w:pPr>
      <w:r w:rsidRPr="0067008A">
        <w:rPr>
          <w:sz w:val="22"/>
        </w:rPr>
        <w:t>MONTPELLIER LLC (USA) con 5.850.841 acciones;</w:t>
      </w:r>
    </w:p>
    <w:p w:rsidR="006A4D59" w:rsidRPr="0067008A" w:rsidRDefault="00921711" w:rsidP="00677E33">
      <w:pPr>
        <w:pStyle w:val="Prrafodelista"/>
        <w:numPr>
          <w:ilvl w:val="0"/>
          <w:numId w:val="24"/>
        </w:numPr>
        <w:spacing w:after="240" w:line="360" w:lineRule="auto"/>
        <w:contextualSpacing w:val="0"/>
        <w:jc w:val="both"/>
        <w:rPr>
          <w:sz w:val="22"/>
        </w:rPr>
      </w:pPr>
      <w:r w:rsidRPr="0067008A">
        <w:rPr>
          <w:sz w:val="22"/>
        </w:rPr>
        <w:t>POSITANO TRADE LLC (USA) con 15.704.888 acciones;</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La Corporación MULTIBG S.A., no registra ninguna de esas transacciones en su contabilidad ni en sus declaraciones a las autoridades de control del Ecuador. Ninguna de ellas tampoco aparece en el informe presentado a la junta general de de accionistas de la corporación (CORPORACION MULTIBG S.A. 2011)</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Desde el año 1994 hasta el año 2016, la Corporación MULTIBG S.A., tuvo como accionista a ANDEAN INVESTMENT LTD, domiciliada en Islas Gran Caimán, del Reino Unido, y cuyo representante era directamente Guillermo Lasso Mendoza. El 14 de marzo de 2011, se produce la transferencia de las acciones de ANDEAN INVESTMENT LTD, a los siguientes fideicomisos mercantiles nacionales:</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15.704.888 acciones al Fideicomiso Mercantil de Administración GLM</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6.613.689 acciones al Fideicomiso Mercantil de Administración MELM</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5.850.841 acciones al Fideicomiso Mercantil de Administración CLM-MMS</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1.574.688 acciones al Fideicomiso Mercantil de Administración DCD-UNO</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1.049.792 acciones al Fideicomiso Mercantil de Administración DCD-DOS</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4.199.168 a PROMOQUIL.</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Todas las acciones son ordinarias, nominativas y liberadas, de 1,00 USD cada una.</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En el año 2012, el Presidente Ejecutivo de la CORPORACIÓN MULTIBG S.A., Guillermo Enrique Lasso Alcívar, comunica que ha transferido las:</w:t>
      </w:r>
    </w:p>
    <w:p w:rsidR="006A4D59" w:rsidRPr="0067008A" w:rsidRDefault="00677E33"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 </w:t>
      </w:r>
    </w:p>
    <w:p w:rsidR="006A4D59" w:rsidRPr="0067008A" w:rsidRDefault="00921711" w:rsidP="00677E33">
      <w:pPr>
        <w:pStyle w:val="Prrafodelista"/>
        <w:numPr>
          <w:ilvl w:val="0"/>
          <w:numId w:val="25"/>
        </w:numPr>
        <w:spacing w:after="240" w:line="360" w:lineRule="auto"/>
        <w:contextualSpacing w:val="0"/>
        <w:jc w:val="both"/>
        <w:rPr>
          <w:sz w:val="22"/>
        </w:rPr>
      </w:pPr>
      <w:r w:rsidRPr="0067008A">
        <w:rPr>
          <w:sz w:val="22"/>
        </w:rPr>
        <w:t>15.704.888 acciones al Fideicomiso Mercantil de Administración GLM a POSITANO TRADE LLC (USA) ;</w:t>
      </w:r>
    </w:p>
    <w:p w:rsidR="006A4D59" w:rsidRPr="0067008A" w:rsidRDefault="00921711" w:rsidP="00677E33">
      <w:pPr>
        <w:pStyle w:val="Prrafodelista"/>
        <w:numPr>
          <w:ilvl w:val="0"/>
          <w:numId w:val="25"/>
        </w:numPr>
        <w:spacing w:after="240" w:line="360" w:lineRule="auto"/>
        <w:contextualSpacing w:val="0"/>
        <w:jc w:val="both"/>
        <w:rPr>
          <w:sz w:val="22"/>
        </w:rPr>
      </w:pPr>
      <w:r w:rsidRPr="0067008A">
        <w:rPr>
          <w:sz w:val="22"/>
        </w:rPr>
        <w:t>6.613.689 acciones al Fideicomiso Mercantil de Administración MELM a GRANADA INTERNACIONAL LLC (USA);</w:t>
      </w:r>
    </w:p>
    <w:p w:rsidR="006A4D59" w:rsidRPr="0067008A" w:rsidRDefault="00921711" w:rsidP="00677E33">
      <w:pPr>
        <w:pStyle w:val="Prrafodelista"/>
        <w:numPr>
          <w:ilvl w:val="0"/>
          <w:numId w:val="25"/>
        </w:numPr>
        <w:spacing w:after="240" w:line="360" w:lineRule="auto"/>
        <w:contextualSpacing w:val="0"/>
        <w:jc w:val="both"/>
        <w:rPr>
          <w:sz w:val="22"/>
        </w:rPr>
      </w:pPr>
      <w:r w:rsidRPr="0067008A">
        <w:rPr>
          <w:sz w:val="22"/>
        </w:rPr>
        <w:t>5.850.841 acciones al Fideicomiso Mercantil de Administración CLM-MMS a MONTPELLIER LLC (USA);</w:t>
      </w:r>
    </w:p>
    <w:p w:rsidR="006A4D59" w:rsidRPr="0067008A" w:rsidRDefault="00921711" w:rsidP="00677E33">
      <w:pPr>
        <w:pStyle w:val="Prrafodelista"/>
        <w:numPr>
          <w:ilvl w:val="0"/>
          <w:numId w:val="25"/>
        </w:numPr>
        <w:spacing w:after="240" w:line="360" w:lineRule="auto"/>
        <w:contextualSpacing w:val="0"/>
        <w:jc w:val="both"/>
        <w:rPr>
          <w:sz w:val="22"/>
        </w:rPr>
      </w:pPr>
      <w:r w:rsidRPr="0067008A">
        <w:rPr>
          <w:sz w:val="22"/>
        </w:rPr>
        <w:t>1.574.688 acciones al Fideicomiso Mercantil de Administración DCD-UNO a BERLIN TRADE LLC (USA)</w:t>
      </w:r>
    </w:p>
    <w:p w:rsidR="006A4D59" w:rsidRPr="0067008A" w:rsidRDefault="00921711" w:rsidP="00677E33">
      <w:pPr>
        <w:pStyle w:val="Prrafodelista"/>
        <w:numPr>
          <w:ilvl w:val="0"/>
          <w:numId w:val="25"/>
        </w:numPr>
        <w:spacing w:after="240" w:line="360" w:lineRule="auto"/>
        <w:contextualSpacing w:val="0"/>
        <w:jc w:val="both"/>
        <w:rPr>
          <w:sz w:val="22"/>
        </w:rPr>
      </w:pPr>
      <w:r w:rsidRPr="0067008A">
        <w:rPr>
          <w:sz w:val="22"/>
        </w:rPr>
        <w:t>1.049.792 acciones al Fideicomiso Mercantil de Administración DCD-DOS a CAMBRIDGE TRADE LLC</w:t>
      </w:r>
      <w:r w:rsidR="00677E33" w:rsidRPr="0067008A">
        <w:rPr>
          <w:sz w:val="22"/>
        </w:rPr>
        <w:t xml:space="preserve"> </w:t>
      </w:r>
      <w:r w:rsidRPr="0067008A">
        <w:rPr>
          <w:sz w:val="22"/>
        </w:rPr>
        <w:t>(USA). (Superintendencia de Compañías 2021)</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Sin embargo, en el año 2013 las compañías off shore, transfieren la misma cantidad de acciones, a los mismos fideicomisos mercantiles de administración en el Ecuador.</w:t>
      </w:r>
    </w:p>
    <w:p w:rsidR="006A4D59" w:rsidRPr="0067008A" w:rsidRDefault="00921711" w:rsidP="00677E33">
      <w:pPr>
        <w:spacing w:after="240" w:line="360" w:lineRule="auto"/>
        <w:jc w:val="both"/>
        <w:rPr>
          <w:rFonts w:ascii="Times New Roman" w:hAnsi="Times New Roman" w:cs="Times New Roman"/>
          <w:b/>
        </w:rPr>
      </w:pPr>
      <w:r w:rsidRPr="0067008A">
        <w:rPr>
          <w:rFonts w:ascii="Times New Roman" w:hAnsi="Times New Roman" w:cs="Times New Roman"/>
          <w:b/>
        </w:rPr>
        <w:t>BANISI</w:t>
      </w:r>
    </w:p>
    <w:p w:rsidR="006A4D59" w:rsidRPr="0067008A" w:rsidRDefault="001A2FF9" w:rsidP="00677E33">
      <w:pPr>
        <w:spacing w:after="240" w:line="360" w:lineRule="auto"/>
        <w:jc w:val="both"/>
        <w:rPr>
          <w:rFonts w:ascii="Times New Roman" w:hAnsi="Times New Roman" w:cs="Times New Roman"/>
        </w:rPr>
      </w:pPr>
      <w:r w:rsidRPr="00CC67C2">
        <w:rPr>
          <w:rFonts w:ascii="Times New Roman" w:hAnsi="Times New Roman" w:cs="Times New Roman"/>
          <w:noProof/>
        </w:rPr>
        <w:drawing>
          <wp:inline distT="0" distB="0" distL="0" distR="0">
            <wp:extent cx="2051685" cy="331470"/>
            <wp:effectExtent l="0" t="0" r="0" b="0"/>
            <wp:docPr id="19" name="Imagen 2" descr="Logotip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descr="Logotipo&#10;&#10;Descripción generada automáticamente"/>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51685" cy="331470"/>
                    </a:xfrm>
                    <a:prstGeom prst="rect">
                      <a:avLst/>
                    </a:prstGeom>
                    <a:noFill/>
                    <a:ln>
                      <a:noFill/>
                    </a:ln>
                  </pic:spPr>
                </pic:pic>
              </a:graphicData>
            </a:graphic>
          </wp:inline>
        </w:drawing>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En el año 2007 el grupo económico Banco de Guayaquil crea una sucursal en Panamá con el nombre de Banco de Guayaquil-Panamá, aprobada por resolución de la Superintendencia de Bancos de Panamá, con el número 110-2007, y que conjuntamente con Guayaquil Bank &amp; Trust Co. Ltd. de la Colonia de Monserrat de British West Indians, constituían las principales off shore del grupo Banco de Guayaquil. Estas off shore eran el puente con los mercados financieros internacionales desregulados (shadow bank). En el año 2009 el grupo económico Banco de Guayaquil decidió cerrar el Guayaquil Bank &amp; Trust Co. Ltd, y el año 2011 decidió cambiar el nombre de Banco de Guayaquil-Panamá por BANISI (CORPORACION MULTIBG S.A. 2011).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El grupo era 100% dueño de las acciones de BANISI a través del BANISI HOLDING S.A. En el Informe a la Junta General de Accionistas, suscrito por Guillermo Lasso Mendoza, puede leerse lo siguiente a propósito del cambio de nombre:</w:t>
      </w:r>
    </w:p>
    <w:p w:rsidR="006A4D59" w:rsidRPr="0067008A" w:rsidRDefault="00921711" w:rsidP="00677E33">
      <w:pPr>
        <w:spacing w:after="240" w:line="360" w:lineRule="auto"/>
        <w:ind w:left="851"/>
        <w:jc w:val="both"/>
        <w:rPr>
          <w:rFonts w:ascii="Times New Roman" w:hAnsi="Times New Roman" w:cs="Times New Roman"/>
        </w:rPr>
      </w:pPr>
      <w:r w:rsidRPr="0067008A">
        <w:rPr>
          <w:rFonts w:ascii="Times New Roman" w:hAnsi="Times New Roman" w:cs="Times New Roman"/>
        </w:rPr>
        <w:t>“El año 2011 fue un año de muchos cambios positivos para nuestra operación en Panamá. Como parte de nuestra estrategia de integración al mercado Panameño, Banco de Guayaquil Panamá, cambió su nombre a Banisi. Este cambi fue debidamente aprobado por la Superintendencia de Bancos de Panamá en Octubre del mismo año, a partir de ese momento, el Banco cambió su Imagen Institucional con un nuevo concepto y estrategia que será potencializada en el 2012” (Superintendencia de Compañías, Expediente No. 19762). (Superintendencia de Compañías 2021)</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En el año en el que se cambia de nombre, 2011, BANISI presentaba activos por 164 millones de dólares, patrimonio por 13,4 millones de dólares, y una utilidad de 1,99 millones de dólares (CORPORACION MULTIBG S.A. 2011).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El grupo económico Banco de Guayaquil, conforme puede revisarse en la información sobre las empresas de grupo Banco de Guayaquil, no ha entregado información sobre BANISI a las autoridades nacionales del Ecuador, a pesar que es una empresa que pertenece totalmente a la Corporación MULTIBG S.A (SRI 2021).</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En el año 2018, BANISI HOLDING S.A., propietaria del 100% de las acciones de BANISI, transfiere el 50% de sus acciones, a una serie de entidades off shore que forman parte de BANISI HOLDING S.A., esas entidades a las que fueron transferidas el 50% de las acciones de BANISI son: MORSETT HOLDING S.A., DEBLEN OVERSEAS S.A., REM PANAMA CORP., ALAMO MANAGEMENT COMPANY INC., BANDERILLA CAPITAL GROUP, S.A. La transferencia fue realizada por el gabinete de abogados ALCOGAL, que también aparecen involucrados en la filtración realizada por el ICIJ en los Pandora Papers (Superintendencia de Compañías 2021).</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En el mes de agosto de 2020, el grupo decidió crear BANISI INTERNATIONAL FOUNDATION, en la ciudad de Panamá (Notaría novena circuito de Panamá 2020). En el acta de constitución puede leerse que el constituyente de esta fundación cede “de manera irrevocable todos sus derechos y obligaciones a favor de: GUILLERMO ENRIQUE LASSO ALCÍVAR … SANTIAGO XAVIER LASSO ALCÍVAR … JUAN EMILIO LASSO ALCÍVAR … MARÍA DEL LOURDES LASSO ALCÍVAR … Y MARÍA MERCEDES LASSO ALCÍVAR” (Notaría novena circuito de Panamá 2020), todos ellos son los hijos de Guillermo Lasso Mendoza.</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BANISI, por tanto, es una pieza clave del grupo Banco de Guayaquil y de la Corporación MULTIBG S.A., para la integrarse a la globalización financiera, la especulación financiera internacional, la creación de fideicomisos e inversiones off shore, el apalancamiento de recursos financieros en los mercados internacionales, y el ocultamiento de información a los reguladores del país.</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La relación de BANISI con Guillermo Lasso Mendoza es directa, porque BANISI es propiedad 100% del grupo económico Banco de Guayaquil (CORPORACION MULTIBG S.A. 2011). Como se había indicado, el 26 de febrero de 2021, el directorio de la Corporación MULTIBG S.A. nombró a</w:t>
      </w:r>
      <w:r w:rsidR="00677E33" w:rsidRPr="0067008A">
        <w:rPr>
          <w:rFonts w:ascii="Times New Roman" w:hAnsi="Times New Roman" w:cs="Times New Roman"/>
        </w:rPr>
        <w:t xml:space="preserve"> </w:t>
      </w:r>
      <w:r w:rsidRPr="0067008A">
        <w:rPr>
          <w:rFonts w:ascii="Times New Roman" w:hAnsi="Times New Roman" w:cs="Times New Roman"/>
        </w:rPr>
        <w:t>Guillermo Enrique Lasso Alcívar, como su Presidente Ejecutivo (CORPORACION MULTIBG S.A. 2021). Es como Presidente Ejecutivo del grupo, que Guillermo Enrique Lasso Alcívar decide traspasar el 50% de las acciones de BANISI a varias empresas off shore que también son parte de BANISI HOLDING S.A. Esa transferencia habría sido imposible de realizar sin el consentimiento, aval y aprobación del principal accionista de la corporación MULTIBG S.A., Guillermo Lasso Mendoza.</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Asimismo, la relación de BANISI HOLDING S.A. con las off shore: MORSETT HOLDING S.A., DEBLEN OVERSEAS S.A., REM PANAMA CORP., ALAMO MANAGEMENT COMPANY INC., BANDERILLA CAPITAL GROUP, S.A., habría sido imposible sin el consentimiento, aval y aprobación del principal accionista de la Corporación MULTIBG S.A., Guillermo Lasso Mendoza.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La filtración de los Pandora Papers con respecto al grupo económico Banco de Guayaquil da cuenta de la utilización, creación, triangulación y vinculación con off shore de paraísos fiscales, por parte de los miembros de este grupo económico, y establece los siguientes datos (</w:t>
      </w:r>
      <w:hyperlink r:id="rId36">
        <w:r w:rsidRPr="0067008A">
          <w:rPr>
            <w:rStyle w:val="EnlacedeInternet"/>
            <w:rFonts w:ascii="Times New Roman" w:hAnsi="Times New Roman" w:cs="Times New Roman"/>
          </w:rPr>
          <w:t>http://www.icij.org</w:t>
        </w:r>
      </w:hyperlink>
      <w:r w:rsidRPr="0067008A">
        <w:rPr>
          <w:rFonts w:ascii="Times New Roman" w:hAnsi="Times New Roman" w:cs="Times New Roman"/>
        </w:rPr>
        <w:t>):</w:t>
      </w:r>
    </w:p>
    <w:p w:rsidR="006A4D59" w:rsidRPr="0067008A" w:rsidRDefault="00921711" w:rsidP="00677E33">
      <w:pPr>
        <w:pStyle w:val="Prrafodelista"/>
        <w:numPr>
          <w:ilvl w:val="0"/>
          <w:numId w:val="36"/>
        </w:numPr>
        <w:spacing w:after="240" w:line="360" w:lineRule="auto"/>
        <w:contextualSpacing w:val="0"/>
        <w:jc w:val="both"/>
        <w:rPr>
          <w:sz w:val="22"/>
        </w:rPr>
      </w:pPr>
      <w:r w:rsidRPr="0067008A">
        <w:rPr>
          <w:sz w:val="22"/>
        </w:rPr>
        <w:t>A finales de 2017, las acciones y activos de entidades panameñas relacionadas con Guillermo Lasso Mendoza se transfieran a dos fideicomisos (Bretten Trust y Liberty Trust) que habían sido creados en Dakota del Sur, Estados Unidos, y administrado por Trident Group Trust, un proveedor internacional de servicios societarios. Estos fideicomisos se sujetan a la regla de perpetuidad;</w:t>
      </w:r>
    </w:p>
    <w:p w:rsidR="006A4D59" w:rsidRPr="0067008A" w:rsidRDefault="00921711" w:rsidP="00677E33">
      <w:pPr>
        <w:pStyle w:val="Prrafodelista"/>
        <w:numPr>
          <w:ilvl w:val="0"/>
          <w:numId w:val="36"/>
        </w:numPr>
        <w:spacing w:after="240" w:line="360" w:lineRule="auto"/>
        <w:contextualSpacing w:val="0"/>
        <w:jc w:val="both"/>
        <w:rPr>
          <w:sz w:val="22"/>
        </w:rPr>
      </w:pPr>
      <w:r w:rsidRPr="0067008A">
        <w:rPr>
          <w:sz w:val="22"/>
        </w:rPr>
        <w:t xml:space="preserve">El fideicomiso Bretten Trust recibió las </w:t>
      </w:r>
      <w:r w:rsidRPr="0067008A">
        <w:rPr>
          <w:b/>
          <w:sz w:val="22"/>
        </w:rPr>
        <w:t>acciones</w:t>
      </w:r>
      <w:r w:rsidRPr="0067008A">
        <w:rPr>
          <w:sz w:val="22"/>
        </w:rPr>
        <w:t xml:space="preserve"> que Bernini Foundation tenía en la compañía Bretten Holdings Inc.; </w:t>
      </w:r>
    </w:p>
    <w:p w:rsidR="006A4D59" w:rsidRPr="0067008A" w:rsidRDefault="00921711" w:rsidP="00677E33">
      <w:pPr>
        <w:pStyle w:val="Prrafodelista"/>
        <w:numPr>
          <w:ilvl w:val="0"/>
          <w:numId w:val="36"/>
        </w:numPr>
        <w:spacing w:after="240" w:line="360" w:lineRule="auto"/>
        <w:contextualSpacing w:val="0"/>
        <w:jc w:val="both"/>
        <w:rPr>
          <w:sz w:val="22"/>
        </w:rPr>
      </w:pPr>
      <w:r w:rsidRPr="0067008A">
        <w:rPr>
          <w:sz w:val="22"/>
        </w:rPr>
        <w:t xml:space="preserve">El fideicomiso Liberty Trust obtuvo las </w:t>
      </w:r>
      <w:r w:rsidRPr="0067008A">
        <w:rPr>
          <w:b/>
          <w:sz w:val="22"/>
        </w:rPr>
        <w:t>acciones</w:t>
      </w:r>
      <w:r w:rsidRPr="0067008A">
        <w:rPr>
          <w:sz w:val="22"/>
        </w:rPr>
        <w:t xml:space="preserve"> que Barberini Foundation tenía en la compañía Nora Group Investment Corp. Además, los </w:t>
      </w:r>
      <w:r w:rsidRPr="0067008A">
        <w:rPr>
          <w:b/>
          <w:sz w:val="22"/>
        </w:rPr>
        <w:t xml:space="preserve">activos </w:t>
      </w:r>
      <w:r w:rsidRPr="0067008A">
        <w:rPr>
          <w:sz w:val="22"/>
        </w:rPr>
        <w:t>de Nora Group Investment Corp. fueron transferidos a la empresa canadiense Liberty Holdings LP, perteneciente también al fideicomiso Liberty Trust. La filtración no detalla de qué bienes se trata;</w:t>
      </w:r>
    </w:p>
    <w:p w:rsidR="006A4D59" w:rsidRPr="0067008A" w:rsidRDefault="00921711" w:rsidP="00677E33">
      <w:pPr>
        <w:pStyle w:val="Prrafodelista"/>
        <w:numPr>
          <w:ilvl w:val="0"/>
          <w:numId w:val="36"/>
        </w:numPr>
        <w:spacing w:after="240" w:line="360" w:lineRule="auto"/>
        <w:contextualSpacing w:val="0"/>
        <w:jc w:val="both"/>
        <w:rPr>
          <w:sz w:val="22"/>
        </w:rPr>
      </w:pPr>
      <w:r w:rsidRPr="0067008A">
        <w:rPr>
          <w:sz w:val="22"/>
        </w:rPr>
        <w:t>Las cuatro entidades panameñas, es decir las dos fundaciones (Bernini Foundation y Barberini Foundation y las dos compañías (Nora Group Investment Corp. y Bretten Holdings Inc.) fueron disueltas;</w:t>
      </w:r>
    </w:p>
    <w:p w:rsidR="006A4D59" w:rsidRPr="0067008A" w:rsidRDefault="00921711" w:rsidP="00677E33">
      <w:pPr>
        <w:pStyle w:val="Prrafodelista"/>
        <w:numPr>
          <w:ilvl w:val="0"/>
          <w:numId w:val="36"/>
        </w:numPr>
        <w:spacing w:after="240" w:line="360" w:lineRule="auto"/>
        <w:contextualSpacing w:val="0"/>
        <w:jc w:val="both"/>
        <w:rPr>
          <w:sz w:val="22"/>
        </w:rPr>
      </w:pPr>
      <w:r w:rsidRPr="0067008A">
        <w:rPr>
          <w:sz w:val="22"/>
        </w:rPr>
        <w:t xml:space="preserve">Los activos que estaban en paraísos fiscales panameños quedaron en fideicomisos establecidos en Estados Unidos (Delaware y Dakota del Sur). La transferencia se realizó a finales de 2017. </w:t>
      </w:r>
    </w:p>
    <w:p w:rsidR="006A4D59" w:rsidRPr="0067008A" w:rsidRDefault="00921711" w:rsidP="00677E33">
      <w:pPr>
        <w:pStyle w:val="Prrafodelista"/>
        <w:numPr>
          <w:ilvl w:val="0"/>
          <w:numId w:val="36"/>
        </w:numPr>
        <w:spacing w:after="240" w:line="360" w:lineRule="auto"/>
        <w:contextualSpacing w:val="0"/>
        <w:jc w:val="both"/>
        <w:rPr>
          <w:sz w:val="22"/>
        </w:rPr>
      </w:pPr>
      <w:r w:rsidRPr="0067008A">
        <w:rPr>
          <w:sz w:val="22"/>
        </w:rPr>
        <w:t xml:space="preserve">De los archivos Pandora Papers no se tiene más información sobre los beneficiarios de estos fideicomisos. </w:t>
      </w:r>
    </w:p>
    <w:p w:rsidR="006A4D59" w:rsidRPr="0067008A" w:rsidRDefault="00921711" w:rsidP="00677E33">
      <w:pPr>
        <w:pStyle w:val="Prrafodelista"/>
        <w:numPr>
          <w:ilvl w:val="0"/>
          <w:numId w:val="36"/>
        </w:numPr>
        <w:spacing w:after="240" w:line="360" w:lineRule="auto"/>
        <w:contextualSpacing w:val="0"/>
        <w:jc w:val="both"/>
        <w:rPr>
          <w:b/>
          <w:sz w:val="22"/>
          <w:lang w:val="en-US"/>
        </w:rPr>
      </w:pPr>
      <w:r w:rsidRPr="0067008A">
        <w:rPr>
          <w:sz w:val="22"/>
        </w:rPr>
        <w:t xml:space="preserve">Los Pandora Papers documentan, además, la relación que Lasso tuvo con once entidades de Panamá, Islas Vírgenes Británicas y Delaware (EE. UU.). Todas fueron canceladas, algunas antes de que se aprobara la ley de 2017. </w:t>
      </w:r>
      <w:r w:rsidRPr="0067008A">
        <w:rPr>
          <w:sz w:val="22"/>
          <w:lang w:val="en-US"/>
        </w:rPr>
        <w:t>Estas son Pacifika Services, Da Vinci Foundation, Positano Trade LLC, Fundación Bienes Raíces, Tintoretto International Foundation, Nora Investment US LLC, Nora Group Investment Corp., Pietro Overseas S.A., Bernini Foundation, Barberini Foundation y Bretten Holdings Inc.</w:t>
      </w:r>
    </w:p>
    <w:p w:rsidR="006A4D59" w:rsidRPr="0067008A" w:rsidRDefault="00921711" w:rsidP="00677E33">
      <w:pPr>
        <w:pStyle w:val="Prrafodelista"/>
        <w:numPr>
          <w:ilvl w:val="0"/>
          <w:numId w:val="36"/>
        </w:numPr>
        <w:spacing w:after="240" w:line="360" w:lineRule="auto"/>
        <w:contextualSpacing w:val="0"/>
        <w:jc w:val="both"/>
        <w:rPr>
          <w:b/>
          <w:sz w:val="22"/>
        </w:rPr>
      </w:pPr>
      <w:r w:rsidRPr="0067008A">
        <w:rPr>
          <w:sz w:val="22"/>
        </w:rPr>
        <w:t xml:space="preserve">De acuerdo con el ICIJ, Pandora Papers muestra que Lasso ha tenido vínculos con 10 compañías offshore y fideicomisos </w:t>
      </w:r>
      <w:r w:rsidRPr="0067008A">
        <w:rPr>
          <w:b/>
          <w:sz w:val="22"/>
        </w:rPr>
        <w:t xml:space="preserve">en Panamá, Dakota del Sur y Delaware </w:t>
      </w:r>
      <w:r w:rsidRPr="0067008A">
        <w:rPr>
          <w:sz w:val="22"/>
        </w:rPr>
        <w:t>(estos dos últimos están en Estados Unidos de América) y considerados paraísos fiscales.</w:t>
      </w:r>
      <w:r w:rsidRPr="0067008A">
        <w:rPr>
          <w:b/>
          <w:sz w:val="22"/>
        </w:rPr>
        <w:t xml:space="preserve">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En </w:t>
      </w:r>
      <w:r w:rsidRPr="0067008A">
        <w:rPr>
          <w:rFonts w:ascii="Times New Roman" w:hAnsi="Times New Roman" w:cs="Times New Roman"/>
          <w:b/>
        </w:rPr>
        <w:t>2017, se crearon dos fidecomisos Bretten Trust y Liberty US Trust en Dakota del Sur, administradas por Trident Group Trust</w:t>
      </w:r>
      <w:r w:rsidRPr="0067008A">
        <w:rPr>
          <w:rFonts w:ascii="Times New Roman" w:hAnsi="Times New Roman" w:cs="Times New Roman"/>
        </w:rPr>
        <w:t>. Lasso autorizó la transferencia de las empresas panameñas denominadas Bernini y Barberini, a esos dos nuevos fideicomisos. Según las reglas que rigen cada fideicomiso, se realizarían distribuciones mensuales a los beneficiarios después de la muerte de Lasso, incluidos $ 20,000 para la esposa de Lasso, $ 2,000 para sus hijos y $ 1,500 para su hermano.</w:t>
      </w:r>
    </w:p>
    <w:p w:rsidR="006A4D59" w:rsidRPr="0067008A" w:rsidRDefault="006A4D59" w:rsidP="00677E33">
      <w:pPr>
        <w:spacing w:after="240" w:line="360" w:lineRule="auto"/>
        <w:jc w:val="both"/>
        <w:rPr>
          <w:rFonts w:ascii="Times New Roman" w:hAnsi="Times New Roman" w:cs="Times New Roman"/>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Guillermo Lasso ha establecido que no tiene “ninguna relación de propiedad, control, beneficio o interés de ningún tipo” con Bretten Trust y Liberty US Trust. “En consecuencia, he cumplido en todo momento con la ley ecuatoriana que prohíbe a candidatos y servidores públicos tener sociedades offshore, exactamente como lo he declarado en mis presentaciones”, ha afirmado en repetidas ocasiones (ver declaraciones de Guillermo Lasso Mendoza, al efecto en los enlaces: </w:t>
      </w:r>
      <w:hyperlink r:id="rId37">
        <w:r w:rsidRPr="0067008A">
          <w:rPr>
            <w:rStyle w:val="EnlacedeInternet"/>
            <w:rFonts w:ascii="Times New Roman" w:hAnsi="Times New Roman" w:cs="Times New Roman"/>
            <w:lang w:val="es-CO"/>
          </w:rPr>
          <w:t>https://www.youtube.com/watch?v=xgniOfRcpKw</w:t>
        </w:r>
      </w:hyperlink>
      <w:r w:rsidRPr="0067008A">
        <w:rPr>
          <w:rStyle w:val="EnlacedeInternet"/>
          <w:rFonts w:ascii="Times New Roman" w:hAnsi="Times New Roman" w:cs="Times New Roman"/>
          <w:lang w:val="es-CO"/>
        </w:rPr>
        <w:t>;</w:t>
      </w:r>
      <w:r w:rsidR="00677E33" w:rsidRPr="0067008A">
        <w:rPr>
          <w:rStyle w:val="EnlacedeInternet"/>
          <w:rFonts w:ascii="Times New Roman" w:hAnsi="Times New Roman" w:cs="Times New Roman"/>
          <w:lang w:val="es-CO"/>
        </w:rPr>
        <w:t xml:space="preserve"> </w:t>
      </w:r>
      <w:hyperlink r:id="rId38">
        <w:r w:rsidRPr="0067008A">
          <w:rPr>
            <w:rStyle w:val="EnlacedeInternet"/>
            <w:rFonts w:ascii="Times New Roman" w:hAnsi="Times New Roman" w:cs="Times New Roman"/>
            <w:lang w:val="es-CO"/>
          </w:rPr>
          <w:t>https://www.youtube.com/watch?v=oH2kEX5YFYs</w:t>
        </w:r>
      </w:hyperlink>
      <w:r w:rsidRPr="0067008A">
        <w:rPr>
          <w:rStyle w:val="EnlacedeInternet"/>
          <w:rFonts w:ascii="Times New Roman" w:hAnsi="Times New Roman" w:cs="Times New Roman"/>
          <w:lang w:val="es-CO"/>
        </w:rPr>
        <w:t xml:space="preserve">; </w:t>
      </w:r>
    </w:p>
    <w:p w:rsidR="006A4D59" w:rsidRPr="0067008A" w:rsidRDefault="008B3EA7" w:rsidP="00677E33">
      <w:pPr>
        <w:spacing w:after="240" w:line="360" w:lineRule="auto"/>
        <w:jc w:val="both"/>
        <w:rPr>
          <w:rFonts w:ascii="Times New Roman" w:hAnsi="Times New Roman" w:cs="Times New Roman"/>
        </w:rPr>
      </w:pPr>
      <w:hyperlink r:id="rId39">
        <w:r w:rsidR="00921711" w:rsidRPr="0067008A">
          <w:rPr>
            <w:rStyle w:val="EnlacedeInternet"/>
            <w:rFonts w:ascii="Times New Roman" w:hAnsi="Times New Roman" w:cs="Times New Roman"/>
            <w:lang w:val="es-CO"/>
          </w:rPr>
          <w:t>https://www.youtube.com/watch?v=_-Dzqc1Bjjo</w:t>
        </w:r>
      </w:hyperlink>
      <w:r w:rsidR="00921711" w:rsidRPr="0067008A">
        <w:rPr>
          <w:rFonts w:ascii="Times New Roman" w:hAnsi="Times New Roman" w:cs="Times New Roman"/>
          <w:lang w:val="es-CO"/>
        </w:rPr>
        <w:t xml:space="preserve">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Con respecto a otras sociedades offshore relacionadas con Guillermo Lasso así como</w:t>
      </w:r>
      <w:r w:rsidR="00677E33" w:rsidRPr="0067008A">
        <w:rPr>
          <w:rFonts w:ascii="Times New Roman" w:hAnsi="Times New Roman" w:cs="Times New Roman"/>
        </w:rPr>
        <w:t xml:space="preserve"> </w:t>
      </w:r>
      <w:r w:rsidRPr="0067008A">
        <w:rPr>
          <w:rFonts w:ascii="Times New Roman" w:hAnsi="Times New Roman" w:cs="Times New Roman"/>
        </w:rPr>
        <w:t>fundaciones de interés privado que aparecen en los Pandora Papers, según Guillermo Lasso todas ellas han sido disueltas: Bernini Foundation, Bretten Holdings, Da Vinci Foundation, Fundación Bienes Raíces, Nora Group Investment Corp., Pietro Overseas SA, Positano Trade LLC y Tintoretto International Fundación. Voceros de Guillermo Lasso Mendoza han confirmado que estas entidades "no tienen existencia legal", y que "todo uso anterior (a 2017) de cualquier entidad internacional" era legítimo. Ninguna de las entidades offshore está relacionada con su servicio público, dijo.</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En el corazón de los Pandora Papers, se identificaron en total 14 firmas offshore que ayudan a los clientes a establecer compañías en jurisdicciones secretas. Para el caso del Guillermo Lasso Mendoza, el ICIJ se basa en datos filtrados en: </w:t>
      </w:r>
    </w:p>
    <w:p w:rsidR="006A4D59" w:rsidRPr="0067008A" w:rsidRDefault="00921711" w:rsidP="00677E33">
      <w:pPr>
        <w:pStyle w:val="Prrafodelista"/>
        <w:numPr>
          <w:ilvl w:val="0"/>
          <w:numId w:val="26"/>
        </w:numPr>
        <w:spacing w:after="240" w:line="360" w:lineRule="auto"/>
        <w:contextualSpacing w:val="0"/>
        <w:jc w:val="both"/>
        <w:rPr>
          <w:sz w:val="22"/>
        </w:rPr>
      </w:pPr>
      <w:r w:rsidRPr="0067008A">
        <w:rPr>
          <w:sz w:val="22"/>
        </w:rPr>
        <w:t xml:space="preserve">Alemán, Cordero, Galindo &amp; Lee, o </w:t>
      </w:r>
      <w:r w:rsidRPr="0067008A">
        <w:rPr>
          <w:b/>
          <w:sz w:val="22"/>
        </w:rPr>
        <w:t>Alcogal</w:t>
      </w:r>
      <w:r w:rsidRPr="0067008A">
        <w:rPr>
          <w:sz w:val="22"/>
        </w:rPr>
        <w:t xml:space="preserve">, es un proveedor offshore de referencia para los principales políticos y élites en América Latina y más allá. Fundada en Panamá, la firma tiene vínculos con casi la mitad de todos los políticos cuyos nombres aparecen en la filtración de Pandora Papers. </w:t>
      </w:r>
    </w:p>
    <w:p w:rsidR="006A4D59" w:rsidRPr="0067008A" w:rsidRDefault="00921711" w:rsidP="002E7BE5">
      <w:pPr>
        <w:pStyle w:val="Prrafodelista"/>
        <w:numPr>
          <w:ilvl w:val="0"/>
          <w:numId w:val="26"/>
        </w:numPr>
        <w:spacing w:after="240" w:line="360" w:lineRule="auto"/>
        <w:contextualSpacing w:val="0"/>
        <w:jc w:val="both"/>
        <w:rPr>
          <w:sz w:val="22"/>
        </w:rPr>
      </w:pPr>
      <w:r w:rsidRPr="0067008A">
        <w:rPr>
          <w:b/>
          <w:sz w:val="22"/>
        </w:rPr>
        <w:t>Trident Trust</w:t>
      </w:r>
      <w:r w:rsidRPr="0067008A">
        <w:rPr>
          <w:sz w:val="22"/>
        </w:rPr>
        <w:t xml:space="preserve"> es uno de los proveedores offshore más grandes del mundo. Está vinculado a casi 100 políticos y funcionarios públicos identificados en los Pandora Papers.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La información que el ICIJ cargó en su página web a partir de los registros filtrados es: </w:t>
      </w:r>
      <w:r w:rsidRPr="0067008A">
        <w:rPr>
          <w:rStyle w:val="Ancladenotaalpie"/>
          <w:rFonts w:ascii="Times New Roman" w:hAnsi="Times New Roman" w:cs="Times New Roman"/>
        </w:rPr>
        <w:footnoteReference w:id="5"/>
      </w:r>
      <w:r w:rsidRPr="0067008A">
        <w:rPr>
          <w:rFonts w:ascii="Times New Roman" w:hAnsi="Times New Roman" w:cs="Times New Roman"/>
        </w:rPr>
        <w:t xml:space="preserve"> </w:t>
      </w:r>
    </w:p>
    <w:p w:rsidR="006A4D59" w:rsidRPr="0067008A" w:rsidRDefault="006A4D59" w:rsidP="00677E33">
      <w:pPr>
        <w:spacing w:after="240" w:line="360" w:lineRule="auto"/>
        <w:jc w:val="both"/>
        <w:rPr>
          <w:rFonts w:ascii="Times New Roman" w:hAnsi="Times New Roman" w:cs="Times New Roman"/>
        </w:rPr>
      </w:pPr>
    </w:p>
    <w:tbl>
      <w:tblPr>
        <w:tblW w:w="9576" w:type="dxa"/>
        <w:tblBorders>
          <w:bottom w:val="single" w:sz="12" w:space="0" w:color="FFFFFF"/>
          <w:insideH w:val="single" w:sz="12" w:space="0" w:color="FFFFFF"/>
        </w:tblBorders>
        <w:tblLook w:val="04A0" w:firstRow="1" w:lastRow="0" w:firstColumn="1" w:lastColumn="0" w:noHBand="0" w:noVBand="1"/>
      </w:tblPr>
      <w:tblGrid>
        <w:gridCol w:w="1668"/>
        <w:gridCol w:w="1559"/>
        <w:gridCol w:w="6349"/>
      </w:tblGrid>
      <w:tr w:rsidR="006A4D59" w:rsidRPr="0067008A" w:rsidTr="00CC67C2">
        <w:tc>
          <w:tcPr>
            <w:tcW w:w="1668" w:type="dxa"/>
            <w:tcBorders>
              <w:bottom w:val="single" w:sz="12" w:space="0" w:color="FFFFFF"/>
            </w:tcBorders>
            <w:shd w:val="clear" w:color="auto" w:fill="auto"/>
          </w:tcPr>
          <w:p w:rsidR="006A4D59" w:rsidRPr="00CC67C2" w:rsidRDefault="00921711" w:rsidP="00CC67C2">
            <w:pPr>
              <w:spacing w:after="240" w:line="360" w:lineRule="auto"/>
              <w:jc w:val="both"/>
              <w:rPr>
                <w:rFonts w:ascii="Times New Roman" w:eastAsia="Cambria" w:hAnsi="Times New Roman" w:cs="Times New Roman"/>
                <w:b/>
                <w:bCs/>
                <w:color w:val="FFFFFF"/>
                <w:lang w:val="es-ES" w:eastAsia="en-US"/>
              </w:rPr>
            </w:pPr>
            <w:r w:rsidRPr="00CC67C2">
              <w:rPr>
                <w:rFonts w:ascii="Times New Roman" w:eastAsia="Cambria" w:hAnsi="Times New Roman" w:cs="Times New Roman"/>
                <w:b/>
                <w:bCs/>
                <w:color w:val="FFFFFF"/>
                <w:lang w:val="es-ES" w:eastAsia="en-US"/>
              </w:rPr>
              <w:t xml:space="preserve">Calidad </w:t>
            </w:r>
          </w:p>
        </w:tc>
        <w:tc>
          <w:tcPr>
            <w:tcW w:w="1559" w:type="dxa"/>
            <w:tcBorders>
              <w:bottom w:val="single" w:sz="12" w:space="0" w:color="FFFFFF"/>
            </w:tcBorders>
            <w:shd w:val="clear" w:color="auto" w:fill="auto"/>
          </w:tcPr>
          <w:p w:rsidR="006A4D59" w:rsidRPr="00CC67C2" w:rsidRDefault="00921711" w:rsidP="00CC67C2">
            <w:pPr>
              <w:spacing w:after="240" w:line="360" w:lineRule="auto"/>
              <w:jc w:val="both"/>
              <w:rPr>
                <w:rFonts w:ascii="Times New Roman" w:eastAsia="Cambria" w:hAnsi="Times New Roman" w:cs="Times New Roman"/>
                <w:b/>
                <w:bCs/>
                <w:color w:val="FFFFFF"/>
                <w:lang w:val="es-ES" w:eastAsia="en-US"/>
              </w:rPr>
            </w:pPr>
            <w:r w:rsidRPr="00CC67C2">
              <w:rPr>
                <w:rFonts w:ascii="Times New Roman" w:eastAsia="Cambria" w:hAnsi="Times New Roman" w:cs="Times New Roman"/>
                <w:b/>
                <w:bCs/>
                <w:color w:val="FFFFFF"/>
                <w:lang w:val="es-ES" w:eastAsia="en-US"/>
              </w:rPr>
              <w:t>Entidad</w:t>
            </w:r>
          </w:p>
        </w:tc>
        <w:tc>
          <w:tcPr>
            <w:tcW w:w="6349" w:type="dxa"/>
            <w:tcBorders>
              <w:bottom w:val="single" w:sz="12" w:space="0" w:color="FFFFFF"/>
            </w:tcBorders>
            <w:shd w:val="clear" w:color="auto" w:fill="auto"/>
          </w:tcPr>
          <w:p w:rsidR="006A4D59" w:rsidRPr="00CC67C2" w:rsidRDefault="00921711" w:rsidP="00CC67C2">
            <w:pPr>
              <w:spacing w:after="240" w:line="360" w:lineRule="auto"/>
              <w:jc w:val="both"/>
              <w:rPr>
                <w:rFonts w:ascii="Times New Roman" w:eastAsia="Cambria" w:hAnsi="Times New Roman" w:cs="Times New Roman"/>
                <w:b/>
                <w:bCs/>
                <w:color w:val="FFFFFF"/>
                <w:lang w:val="es-ES" w:eastAsia="en-US"/>
              </w:rPr>
            </w:pPr>
            <w:r w:rsidRPr="00CC67C2">
              <w:rPr>
                <w:rFonts w:ascii="Times New Roman" w:eastAsia="Cambria" w:hAnsi="Times New Roman" w:cs="Times New Roman"/>
                <w:b/>
                <w:bCs/>
                <w:color w:val="FFFFFF"/>
                <w:lang w:val="es-ES" w:eastAsia="en-US"/>
              </w:rPr>
              <w:t xml:space="preserve">Detalle </w:t>
            </w:r>
          </w:p>
        </w:tc>
      </w:tr>
      <w:tr w:rsidR="006A4D59" w:rsidRPr="0067008A" w:rsidTr="00CC67C2">
        <w:tc>
          <w:tcPr>
            <w:tcW w:w="1668" w:type="dxa"/>
            <w:vMerge w:val="restart"/>
            <w:shd w:val="clear" w:color="auto" w:fill="auto"/>
          </w:tcPr>
          <w:p w:rsidR="006A4D59" w:rsidRPr="00CC67C2" w:rsidRDefault="00921711" w:rsidP="00CC67C2">
            <w:pPr>
              <w:spacing w:after="240" w:line="360" w:lineRule="auto"/>
              <w:jc w:val="both"/>
              <w:rPr>
                <w:rFonts w:ascii="Times New Roman" w:eastAsia="Cambria" w:hAnsi="Times New Roman" w:cs="Times New Roman"/>
                <w:b/>
                <w:bCs/>
                <w:color w:val="000000"/>
                <w:lang w:val="es-ES" w:eastAsia="en-US"/>
              </w:rPr>
            </w:pPr>
            <w:r w:rsidRPr="00CC67C2">
              <w:rPr>
                <w:rFonts w:ascii="Times New Roman" w:eastAsia="Cambria" w:hAnsi="Times New Roman" w:cs="Times New Roman"/>
                <w:b/>
                <w:bCs/>
                <w:color w:val="000000"/>
                <w:lang w:val="es-ES" w:eastAsia="en-US"/>
              </w:rPr>
              <w:t>Beneficiario</w:t>
            </w:r>
          </w:p>
          <w:p w:rsidR="006A4D59" w:rsidRPr="00CC67C2" w:rsidRDefault="006A4D59" w:rsidP="00CC67C2">
            <w:pPr>
              <w:spacing w:after="240" w:line="360" w:lineRule="auto"/>
              <w:jc w:val="both"/>
              <w:rPr>
                <w:rFonts w:ascii="Times New Roman" w:eastAsia="Cambria" w:hAnsi="Times New Roman" w:cs="Times New Roman"/>
                <w:b/>
                <w:bCs/>
                <w:color w:val="000000"/>
                <w:lang w:val="es-ES" w:eastAsia="en-US"/>
              </w:rPr>
            </w:pPr>
          </w:p>
        </w:tc>
        <w:tc>
          <w:tcPr>
            <w:tcW w:w="1559" w:type="dxa"/>
            <w:shd w:val="clear" w:color="auto" w:fill="auto"/>
          </w:tcPr>
          <w:p w:rsidR="006A4D59" w:rsidRPr="00CC67C2" w:rsidRDefault="00921711" w:rsidP="00CC67C2">
            <w:p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Fundación Internacional Tintoretto.</w:t>
            </w:r>
          </w:p>
          <w:p w:rsidR="006A4D59" w:rsidRPr="00CC67C2" w:rsidRDefault="006A4D59" w:rsidP="00CC67C2">
            <w:pPr>
              <w:spacing w:after="240" w:line="360" w:lineRule="auto"/>
              <w:jc w:val="both"/>
              <w:rPr>
                <w:rFonts w:ascii="Times New Roman" w:eastAsia="Cambria" w:hAnsi="Times New Roman" w:cs="Times New Roman"/>
                <w:color w:val="000000"/>
                <w:lang w:val="es-ES" w:eastAsia="en-US"/>
              </w:rPr>
            </w:pPr>
          </w:p>
        </w:tc>
        <w:tc>
          <w:tcPr>
            <w:tcW w:w="6349" w:type="dxa"/>
            <w:shd w:val="clear" w:color="auto" w:fill="auto"/>
          </w:tcPr>
          <w:p w:rsidR="006A4D59" w:rsidRPr="00CC67C2" w:rsidRDefault="00921711" w:rsidP="00CC67C2">
            <w:pPr>
              <w:numPr>
                <w:ilvl w:val="0"/>
                <w:numId w:val="27"/>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fecha: 2020-SEP-15.</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27"/>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Info ICIJ:</w:t>
            </w:r>
            <w:r w:rsidR="00677E33" w:rsidRPr="00CC67C2">
              <w:rPr>
                <w:rFonts w:ascii="Times New Roman" w:eastAsia="Cambria" w:hAnsi="Times New Roman" w:cs="Times New Roman"/>
                <w:color w:val="000000"/>
                <w:lang w:val="es-ES" w:eastAsia="en-US"/>
              </w:rPr>
              <w:t xml:space="preserve"> </w:t>
            </w:r>
            <w:r w:rsidRPr="00CC67C2">
              <w:rPr>
                <w:rFonts w:ascii="Times New Roman" w:eastAsia="Cambria" w:hAnsi="Times New Roman" w:cs="Times New Roman"/>
                <w:b/>
                <w:color w:val="000000"/>
                <w:lang w:val="es-ES" w:eastAsia="en-US"/>
              </w:rPr>
              <w:t>los datos son actuales hasta el 2017.</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27"/>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Proveedor: Alcogal</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27"/>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Fecha de Registro: 2012-MAR-06.</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27"/>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Jurisdicción: Panamá.</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27"/>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Fuente: Papeles de pandora - Alemán, Cordero, Galindo &amp; Lee (Alcogal).</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27"/>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Punto de identificación: BEBC34B800F2B9FF7C29460E6913F0B</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27"/>
              </w:numPr>
              <w:spacing w:after="240" w:line="360" w:lineRule="auto"/>
              <w:jc w:val="both"/>
              <w:rPr>
                <w:rFonts w:ascii="Times New Roman" w:eastAsia="Cambria" w:hAnsi="Times New Roman" w:cs="Times New Roman"/>
                <w:b/>
                <w:color w:val="000000"/>
                <w:lang w:val="es-ES" w:eastAsia="en-US"/>
              </w:rPr>
            </w:pPr>
            <w:r w:rsidRPr="00CC67C2">
              <w:rPr>
                <w:rFonts w:ascii="Times New Roman" w:eastAsia="Cambria" w:hAnsi="Times New Roman" w:cs="Times New Roman"/>
                <w:b/>
                <w:color w:val="000000"/>
                <w:lang w:val="es-ES" w:eastAsia="en-US"/>
              </w:rPr>
              <w:t>Estado: DISUELTA</w:t>
            </w:r>
          </w:p>
        </w:tc>
      </w:tr>
      <w:tr w:rsidR="006A4D59" w:rsidRPr="0067008A" w:rsidTr="00CC67C2">
        <w:tc>
          <w:tcPr>
            <w:tcW w:w="1668" w:type="dxa"/>
            <w:vMerge/>
            <w:shd w:val="clear" w:color="auto" w:fill="auto"/>
          </w:tcPr>
          <w:p w:rsidR="006A4D59" w:rsidRPr="00CC67C2" w:rsidRDefault="006A4D59" w:rsidP="00CC67C2">
            <w:pPr>
              <w:spacing w:after="240" w:line="360" w:lineRule="auto"/>
              <w:jc w:val="both"/>
              <w:rPr>
                <w:rFonts w:ascii="Times New Roman" w:eastAsia="Cambria" w:hAnsi="Times New Roman" w:cs="Times New Roman"/>
                <w:b/>
                <w:bCs/>
                <w:color w:val="000000"/>
                <w:lang w:val="es-EC" w:eastAsia="en-US"/>
              </w:rPr>
            </w:pPr>
          </w:p>
        </w:tc>
        <w:tc>
          <w:tcPr>
            <w:tcW w:w="1559" w:type="dxa"/>
            <w:shd w:val="clear" w:color="auto" w:fill="auto"/>
          </w:tcPr>
          <w:p w:rsidR="006A4D59" w:rsidRPr="00CC67C2" w:rsidRDefault="00921711" w:rsidP="00CC67C2">
            <w:p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 xml:space="preserve">Fundación DA VINCI </w:t>
            </w:r>
          </w:p>
          <w:p w:rsidR="006A4D59" w:rsidRPr="00CC67C2" w:rsidRDefault="006A4D59" w:rsidP="00CC67C2">
            <w:pPr>
              <w:spacing w:after="240" w:line="360" w:lineRule="auto"/>
              <w:jc w:val="both"/>
              <w:rPr>
                <w:rFonts w:ascii="Times New Roman" w:eastAsia="Cambria" w:hAnsi="Times New Roman" w:cs="Times New Roman"/>
                <w:color w:val="000000"/>
                <w:lang w:val="es-ES" w:eastAsia="en-US"/>
              </w:rPr>
            </w:pPr>
          </w:p>
        </w:tc>
        <w:tc>
          <w:tcPr>
            <w:tcW w:w="6349" w:type="dxa"/>
            <w:shd w:val="clear" w:color="auto" w:fill="auto"/>
          </w:tcPr>
          <w:p w:rsidR="006A4D59" w:rsidRPr="00CC67C2" w:rsidRDefault="00921711" w:rsidP="00CC67C2">
            <w:pPr>
              <w:numPr>
                <w:ilvl w:val="0"/>
                <w:numId w:val="28"/>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fecha: 2015-SEP-05.</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28"/>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Info ICIJ:</w:t>
            </w:r>
            <w:r w:rsidR="00677E33" w:rsidRPr="00CC67C2">
              <w:rPr>
                <w:rFonts w:ascii="Times New Roman" w:eastAsia="Cambria" w:hAnsi="Times New Roman" w:cs="Times New Roman"/>
                <w:color w:val="000000"/>
                <w:lang w:val="es-ES" w:eastAsia="en-US"/>
              </w:rPr>
              <w:t xml:space="preserve"> </w:t>
            </w:r>
            <w:r w:rsidRPr="00CC67C2">
              <w:rPr>
                <w:rFonts w:ascii="Times New Roman" w:eastAsia="Cambria" w:hAnsi="Times New Roman" w:cs="Times New Roman"/>
                <w:b/>
                <w:color w:val="000000"/>
                <w:lang w:val="es-ES" w:eastAsia="en-US"/>
              </w:rPr>
              <w:t>los datos son actuales hasta el 2018.</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28"/>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Proveedor: Alcogal</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28"/>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Fecha de Registro: 2012-JAN-18.</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28"/>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Jurisdicción: Panamá.</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28"/>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Fuente: Papeles de pandora - Alemán, Cordero, Galindo &amp; Lee (Alcogal).</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28"/>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Punto de identificación: 2FC3033BEB1EAFB6260ED87B7F452AF1</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28"/>
              </w:numPr>
              <w:spacing w:after="240" w:line="360" w:lineRule="auto"/>
              <w:jc w:val="both"/>
              <w:rPr>
                <w:rFonts w:ascii="Times New Roman" w:eastAsia="Cambria" w:hAnsi="Times New Roman" w:cs="Times New Roman"/>
                <w:b/>
                <w:color w:val="000000"/>
                <w:lang w:val="es-ES" w:eastAsia="en-US"/>
              </w:rPr>
            </w:pPr>
            <w:r w:rsidRPr="00CC67C2">
              <w:rPr>
                <w:rFonts w:ascii="Times New Roman" w:eastAsia="Cambria" w:hAnsi="Times New Roman" w:cs="Times New Roman"/>
                <w:b/>
                <w:color w:val="000000"/>
                <w:lang w:val="es-ES" w:eastAsia="en-US"/>
              </w:rPr>
              <w:t>Estado: DISUELTA.</w:t>
            </w:r>
          </w:p>
        </w:tc>
      </w:tr>
      <w:tr w:rsidR="006A4D59" w:rsidRPr="0067008A" w:rsidTr="00CC67C2">
        <w:tc>
          <w:tcPr>
            <w:tcW w:w="1668" w:type="dxa"/>
            <w:vMerge/>
            <w:shd w:val="clear" w:color="auto" w:fill="auto"/>
          </w:tcPr>
          <w:p w:rsidR="006A4D59" w:rsidRPr="00CC67C2" w:rsidRDefault="006A4D59" w:rsidP="00CC67C2">
            <w:pPr>
              <w:spacing w:after="240" w:line="360" w:lineRule="auto"/>
              <w:jc w:val="both"/>
              <w:rPr>
                <w:rFonts w:ascii="Times New Roman" w:eastAsia="Cambria" w:hAnsi="Times New Roman" w:cs="Times New Roman"/>
                <w:b/>
                <w:bCs/>
                <w:color w:val="000000"/>
                <w:lang w:val="es-EC" w:eastAsia="en-US"/>
              </w:rPr>
            </w:pPr>
          </w:p>
        </w:tc>
        <w:tc>
          <w:tcPr>
            <w:tcW w:w="1559" w:type="dxa"/>
            <w:shd w:val="clear" w:color="auto" w:fill="auto"/>
          </w:tcPr>
          <w:p w:rsidR="006A4D59" w:rsidRPr="00CC67C2" w:rsidRDefault="00921711" w:rsidP="00CC67C2">
            <w:p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Fundación BARBERINI</w:t>
            </w:r>
            <w:r w:rsidRPr="00CC67C2">
              <w:rPr>
                <w:rStyle w:val="Ancladenotaalpie"/>
                <w:rFonts w:ascii="Times New Roman" w:eastAsia="Cambria" w:hAnsi="Times New Roman" w:cs="Times New Roman"/>
                <w:color w:val="000000"/>
                <w:lang w:val="es-ES" w:eastAsia="en-US"/>
              </w:rPr>
              <w:footnoteReference w:id="6"/>
            </w:r>
            <w:r w:rsidRPr="00CC67C2">
              <w:rPr>
                <w:rFonts w:ascii="Times New Roman" w:eastAsia="Cambria" w:hAnsi="Times New Roman" w:cs="Times New Roman"/>
                <w:color w:val="000000"/>
                <w:lang w:val="es-ES" w:eastAsia="en-US"/>
              </w:rPr>
              <w:t xml:space="preserve"> </w:t>
            </w:r>
          </w:p>
          <w:p w:rsidR="006A4D59" w:rsidRPr="00CC67C2" w:rsidRDefault="006A4D59" w:rsidP="00CC67C2">
            <w:pPr>
              <w:spacing w:after="240" w:line="360" w:lineRule="auto"/>
              <w:jc w:val="both"/>
              <w:rPr>
                <w:rFonts w:ascii="Times New Roman" w:eastAsia="Cambria" w:hAnsi="Times New Roman" w:cs="Times New Roman"/>
                <w:color w:val="000000"/>
                <w:lang w:val="es-ES" w:eastAsia="en-US"/>
              </w:rPr>
            </w:pPr>
          </w:p>
        </w:tc>
        <w:tc>
          <w:tcPr>
            <w:tcW w:w="6349" w:type="dxa"/>
            <w:shd w:val="clear" w:color="auto" w:fill="auto"/>
          </w:tcPr>
          <w:p w:rsidR="006A4D59" w:rsidRPr="00CC67C2" w:rsidRDefault="00921711" w:rsidP="00CC67C2">
            <w:pPr>
              <w:numPr>
                <w:ilvl w:val="0"/>
                <w:numId w:val="29"/>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fecha: 2018-ENE-23.</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29"/>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Info ICIJ:</w:t>
            </w:r>
            <w:r w:rsidR="00677E33" w:rsidRPr="00CC67C2">
              <w:rPr>
                <w:rFonts w:ascii="Times New Roman" w:eastAsia="Cambria" w:hAnsi="Times New Roman" w:cs="Times New Roman"/>
                <w:color w:val="000000"/>
                <w:lang w:val="es-ES" w:eastAsia="en-US"/>
              </w:rPr>
              <w:t xml:space="preserve"> </w:t>
            </w:r>
            <w:r w:rsidRPr="00CC67C2">
              <w:rPr>
                <w:rFonts w:ascii="Times New Roman" w:eastAsia="Cambria" w:hAnsi="Times New Roman" w:cs="Times New Roman"/>
                <w:b/>
                <w:color w:val="000000"/>
                <w:lang w:val="es-ES" w:eastAsia="en-US"/>
              </w:rPr>
              <w:t>los datos son actuales hasta el 2017</w:t>
            </w:r>
            <w:r w:rsidRPr="00CC67C2">
              <w:rPr>
                <w:rFonts w:ascii="Times New Roman" w:eastAsia="Cambria" w:hAnsi="Times New Roman" w:cs="Times New Roman"/>
                <w:color w:val="000000"/>
                <w:lang w:val="es-ES" w:eastAsia="en-US"/>
              </w:rPr>
              <w:t>.</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29"/>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Proveedor: Alcogal</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29"/>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Fecha de Registro: 2011-MAY-05.</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29"/>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Jurisdicción: Panamá.</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29"/>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Fuente: Papeles de pandora - Alemán, Cordero, Galindo &amp; Lee (Alcogal).</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29"/>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Punto de identificación: D434AE02B2A1BE85D23416199E878524</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29"/>
              </w:numPr>
              <w:spacing w:after="240" w:line="360" w:lineRule="auto"/>
              <w:jc w:val="both"/>
              <w:rPr>
                <w:rFonts w:ascii="Times New Roman" w:eastAsia="Cambria" w:hAnsi="Times New Roman" w:cs="Times New Roman"/>
                <w:b/>
                <w:color w:val="000000"/>
                <w:lang w:val="es-ES" w:eastAsia="en-US"/>
              </w:rPr>
            </w:pPr>
            <w:r w:rsidRPr="00CC67C2">
              <w:rPr>
                <w:rFonts w:ascii="Times New Roman" w:eastAsia="Cambria" w:hAnsi="Times New Roman" w:cs="Times New Roman"/>
                <w:b/>
                <w:color w:val="000000"/>
                <w:lang w:val="es-ES" w:eastAsia="en-US"/>
              </w:rPr>
              <w:t>Estado: DISUELTA.</w:t>
            </w:r>
          </w:p>
        </w:tc>
      </w:tr>
      <w:tr w:rsidR="006A4D59" w:rsidRPr="0067008A" w:rsidTr="00CC67C2">
        <w:tc>
          <w:tcPr>
            <w:tcW w:w="1668" w:type="dxa"/>
            <w:vMerge/>
            <w:shd w:val="clear" w:color="auto" w:fill="auto"/>
          </w:tcPr>
          <w:p w:rsidR="006A4D59" w:rsidRPr="00CC67C2" w:rsidRDefault="006A4D59" w:rsidP="00CC67C2">
            <w:pPr>
              <w:spacing w:after="240" w:line="360" w:lineRule="auto"/>
              <w:jc w:val="both"/>
              <w:rPr>
                <w:rFonts w:ascii="Times New Roman" w:eastAsia="Cambria" w:hAnsi="Times New Roman" w:cs="Times New Roman"/>
                <w:b/>
                <w:bCs/>
                <w:color w:val="000000"/>
                <w:lang w:val="es-EC" w:eastAsia="en-US"/>
              </w:rPr>
            </w:pPr>
          </w:p>
        </w:tc>
        <w:tc>
          <w:tcPr>
            <w:tcW w:w="1559" w:type="dxa"/>
            <w:shd w:val="clear" w:color="auto" w:fill="auto"/>
          </w:tcPr>
          <w:p w:rsidR="006A4D59" w:rsidRPr="00CC67C2" w:rsidRDefault="00921711" w:rsidP="00CC67C2">
            <w:p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Pietro Overseas S.A</w:t>
            </w:r>
          </w:p>
          <w:p w:rsidR="006A4D59" w:rsidRPr="00CC67C2" w:rsidRDefault="006A4D59" w:rsidP="00CC67C2">
            <w:pPr>
              <w:spacing w:after="240" w:line="360" w:lineRule="auto"/>
              <w:jc w:val="both"/>
              <w:rPr>
                <w:rFonts w:ascii="Times New Roman" w:eastAsia="Cambria" w:hAnsi="Times New Roman" w:cs="Times New Roman"/>
                <w:color w:val="000000"/>
                <w:lang w:val="es-ES" w:eastAsia="en-US"/>
              </w:rPr>
            </w:pPr>
          </w:p>
        </w:tc>
        <w:tc>
          <w:tcPr>
            <w:tcW w:w="6349" w:type="dxa"/>
            <w:shd w:val="clear" w:color="auto" w:fill="auto"/>
          </w:tcPr>
          <w:p w:rsidR="006A4D59" w:rsidRPr="00CC67C2" w:rsidRDefault="00921711" w:rsidP="00CC67C2">
            <w:pPr>
              <w:pStyle w:val="Prrafodelista"/>
              <w:numPr>
                <w:ilvl w:val="0"/>
                <w:numId w:val="34"/>
              </w:numPr>
              <w:spacing w:after="240" w:line="360" w:lineRule="auto"/>
              <w:contextualSpacing w:val="0"/>
              <w:jc w:val="both"/>
              <w:rPr>
                <w:color w:val="000000"/>
                <w:sz w:val="22"/>
                <w:lang w:val="es-ES"/>
              </w:rPr>
            </w:pPr>
            <w:r w:rsidRPr="00CC67C2">
              <w:rPr>
                <w:color w:val="000000"/>
                <w:sz w:val="22"/>
                <w:lang w:val="es-ES"/>
              </w:rPr>
              <w:t>fecha: 2020-SEP-14.</w:t>
            </w:r>
            <w:r w:rsidR="00677E33" w:rsidRPr="00CC67C2">
              <w:rPr>
                <w:color w:val="000000"/>
                <w:sz w:val="22"/>
                <w:lang w:val="es-ES"/>
              </w:rPr>
              <w:t xml:space="preserve"> </w:t>
            </w:r>
          </w:p>
          <w:p w:rsidR="006A4D59" w:rsidRPr="00CC67C2" w:rsidRDefault="00921711" w:rsidP="00CC67C2">
            <w:pPr>
              <w:numPr>
                <w:ilvl w:val="0"/>
                <w:numId w:val="30"/>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Info ICIJ:</w:t>
            </w:r>
            <w:r w:rsidR="00677E33" w:rsidRPr="00CC67C2">
              <w:rPr>
                <w:rFonts w:ascii="Times New Roman" w:eastAsia="Cambria" w:hAnsi="Times New Roman" w:cs="Times New Roman"/>
                <w:color w:val="000000"/>
                <w:lang w:val="es-ES" w:eastAsia="en-US"/>
              </w:rPr>
              <w:t xml:space="preserve"> </w:t>
            </w:r>
            <w:r w:rsidRPr="00CC67C2">
              <w:rPr>
                <w:rFonts w:ascii="Times New Roman" w:eastAsia="Cambria" w:hAnsi="Times New Roman" w:cs="Times New Roman"/>
                <w:b/>
                <w:color w:val="000000"/>
                <w:lang w:val="es-ES" w:eastAsia="en-US"/>
              </w:rPr>
              <w:t>los datos son actuales hasta el 2017.</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30"/>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Proveedor: Alcogal</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30"/>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Fecha de Registro: 2011-MAY-09.</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30"/>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Jurisdicción: Panamá.</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30"/>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Fuente: Papeles de pandora - Alemán, Cordero, Galindo &amp; Lee (Alcogal).</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30"/>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Punto de identificación: 45EE00D32CF8148AF49FF91AA439D5A4</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30"/>
              </w:numPr>
              <w:spacing w:after="240" w:line="360" w:lineRule="auto"/>
              <w:jc w:val="both"/>
              <w:rPr>
                <w:rFonts w:ascii="Times New Roman" w:eastAsia="Cambria" w:hAnsi="Times New Roman" w:cs="Times New Roman"/>
                <w:b/>
                <w:color w:val="000000"/>
                <w:lang w:val="es-ES" w:eastAsia="en-US"/>
              </w:rPr>
            </w:pPr>
            <w:r w:rsidRPr="00CC67C2">
              <w:rPr>
                <w:rFonts w:ascii="Times New Roman" w:eastAsia="Cambria" w:hAnsi="Times New Roman" w:cs="Times New Roman"/>
                <w:b/>
                <w:color w:val="000000"/>
                <w:lang w:val="es-ES" w:eastAsia="en-US"/>
              </w:rPr>
              <w:t xml:space="preserve">Estado: DISUELTA </w:t>
            </w:r>
          </w:p>
        </w:tc>
      </w:tr>
      <w:tr w:rsidR="006A4D59" w:rsidRPr="0067008A" w:rsidTr="00CC67C2">
        <w:tc>
          <w:tcPr>
            <w:tcW w:w="1668" w:type="dxa"/>
            <w:vMerge w:val="restart"/>
            <w:shd w:val="clear" w:color="auto" w:fill="auto"/>
          </w:tcPr>
          <w:p w:rsidR="006A4D59" w:rsidRPr="00CC67C2" w:rsidRDefault="00921711" w:rsidP="00CC67C2">
            <w:pPr>
              <w:spacing w:after="240" w:line="360" w:lineRule="auto"/>
              <w:jc w:val="both"/>
              <w:rPr>
                <w:rFonts w:ascii="Times New Roman" w:eastAsia="Cambria" w:hAnsi="Times New Roman" w:cs="Times New Roman"/>
                <w:b/>
                <w:bCs/>
                <w:color w:val="000000"/>
                <w:lang w:val="es-ES" w:eastAsia="en-US"/>
              </w:rPr>
            </w:pPr>
            <w:r w:rsidRPr="00CC67C2">
              <w:rPr>
                <w:rFonts w:ascii="Times New Roman" w:eastAsia="Cambria" w:hAnsi="Times New Roman" w:cs="Times New Roman"/>
                <w:b/>
                <w:bCs/>
                <w:color w:val="000000"/>
                <w:lang w:val="es-ES" w:eastAsia="en-US"/>
              </w:rPr>
              <w:t>Accionista</w:t>
            </w:r>
          </w:p>
        </w:tc>
        <w:tc>
          <w:tcPr>
            <w:tcW w:w="1559" w:type="dxa"/>
            <w:shd w:val="clear" w:color="auto" w:fill="auto"/>
          </w:tcPr>
          <w:p w:rsidR="006A4D59" w:rsidRPr="00CC67C2" w:rsidRDefault="00921711" w:rsidP="00CC67C2">
            <w:p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Corporación de Inversión Grupo Nora</w:t>
            </w:r>
            <w:r w:rsidRPr="00CC67C2">
              <w:rPr>
                <w:rStyle w:val="Ancladenotaalpie"/>
                <w:rFonts w:ascii="Times New Roman" w:eastAsia="Cambria" w:hAnsi="Times New Roman" w:cs="Times New Roman"/>
                <w:color w:val="000000"/>
                <w:lang w:val="es-ES" w:eastAsia="en-US"/>
              </w:rPr>
              <w:footnoteReference w:id="7"/>
            </w:r>
            <w:r w:rsidRPr="00CC67C2">
              <w:rPr>
                <w:rFonts w:ascii="Times New Roman" w:eastAsia="Cambria" w:hAnsi="Times New Roman" w:cs="Times New Roman"/>
                <w:color w:val="000000"/>
                <w:lang w:val="es-ES" w:eastAsia="en-US"/>
              </w:rPr>
              <w:t xml:space="preserve"> </w:t>
            </w:r>
          </w:p>
          <w:p w:rsidR="006A4D59" w:rsidRPr="00CC67C2" w:rsidRDefault="006A4D59" w:rsidP="00CC67C2">
            <w:pPr>
              <w:spacing w:after="240" w:line="360" w:lineRule="auto"/>
              <w:jc w:val="both"/>
              <w:rPr>
                <w:rFonts w:ascii="Times New Roman" w:eastAsia="Cambria" w:hAnsi="Times New Roman" w:cs="Times New Roman"/>
                <w:color w:val="000000"/>
                <w:lang w:val="es-ES" w:eastAsia="en-US"/>
              </w:rPr>
            </w:pPr>
          </w:p>
        </w:tc>
        <w:tc>
          <w:tcPr>
            <w:tcW w:w="6349" w:type="dxa"/>
            <w:shd w:val="clear" w:color="auto" w:fill="auto"/>
          </w:tcPr>
          <w:p w:rsidR="006A4D59" w:rsidRPr="00CC67C2" w:rsidRDefault="00921711" w:rsidP="00CC67C2">
            <w:pPr>
              <w:numPr>
                <w:ilvl w:val="0"/>
                <w:numId w:val="31"/>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fecha: 2018-ENE-22.</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31"/>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Info ICIJ:</w:t>
            </w:r>
            <w:r w:rsidR="00677E33" w:rsidRPr="00CC67C2">
              <w:rPr>
                <w:rFonts w:ascii="Times New Roman" w:eastAsia="Cambria" w:hAnsi="Times New Roman" w:cs="Times New Roman"/>
                <w:color w:val="000000"/>
                <w:lang w:val="es-ES" w:eastAsia="en-US"/>
              </w:rPr>
              <w:t xml:space="preserve"> </w:t>
            </w:r>
            <w:r w:rsidRPr="00CC67C2">
              <w:rPr>
                <w:rFonts w:ascii="Times New Roman" w:eastAsia="Cambria" w:hAnsi="Times New Roman" w:cs="Times New Roman"/>
                <w:b/>
                <w:color w:val="000000"/>
                <w:lang w:val="es-ES" w:eastAsia="en-US"/>
              </w:rPr>
              <w:t>los datos son actuales hasta el 2018.</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31"/>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Proveedor: Alcogal</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31"/>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Fecha de Registro: 2011-MAY-19.</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31"/>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Jurisdicción: Panamá.</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31"/>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Fuente: Papeles de pandora - Alemán, Cordero, Galindo &amp; Lee (Alcogal).</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31"/>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Punto de identificación: A9179D0378F518120992AB62C84EEC8B</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31"/>
              </w:numPr>
              <w:spacing w:after="240" w:line="360" w:lineRule="auto"/>
              <w:jc w:val="both"/>
              <w:rPr>
                <w:rFonts w:ascii="Times New Roman" w:eastAsia="Cambria" w:hAnsi="Times New Roman" w:cs="Times New Roman"/>
                <w:b/>
                <w:color w:val="000000"/>
                <w:lang w:val="es-ES" w:eastAsia="en-US"/>
              </w:rPr>
            </w:pPr>
            <w:r w:rsidRPr="00CC67C2">
              <w:rPr>
                <w:rFonts w:ascii="Times New Roman" w:eastAsia="Cambria" w:hAnsi="Times New Roman" w:cs="Times New Roman"/>
                <w:b/>
                <w:color w:val="000000"/>
                <w:lang w:val="es-ES" w:eastAsia="en-US"/>
              </w:rPr>
              <w:t>Estado: DISUELTA</w:t>
            </w:r>
          </w:p>
        </w:tc>
      </w:tr>
      <w:tr w:rsidR="006A4D59" w:rsidRPr="0067008A" w:rsidTr="00CC67C2">
        <w:tc>
          <w:tcPr>
            <w:tcW w:w="1668" w:type="dxa"/>
            <w:vMerge/>
            <w:shd w:val="clear" w:color="auto" w:fill="auto"/>
          </w:tcPr>
          <w:p w:rsidR="006A4D59" w:rsidRPr="00CC67C2" w:rsidRDefault="006A4D59" w:rsidP="00CC67C2">
            <w:pPr>
              <w:spacing w:after="240" w:line="360" w:lineRule="auto"/>
              <w:jc w:val="both"/>
              <w:rPr>
                <w:rFonts w:ascii="Times New Roman" w:eastAsia="Cambria" w:hAnsi="Times New Roman" w:cs="Times New Roman"/>
                <w:b/>
                <w:bCs/>
                <w:color w:val="000000"/>
                <w:lang w:val="es-EC" w:eastAsia="en-US"/>
              </w:rPr>
            </w:pPr>
          </w:p>
        </w:tc>
        <w:tc>
          <w:tcPr>
            <w:tcW w:w="1559" w:type="dxa"/>
            <w:shd w:val="clear" w:color="auto" w:fill="auto"/>
          </w:tcPr>
          <w:p w:rsidR="006A4D59" w:rsidRPr="00CC67C2" w:rsidRDefault="00921711" w:rsidP="00CC67C2">
            <w:p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Fundación BERNINI</w:t>
            </w:r>
            <w:r w:rsidRPr="00CC67C2">
              <w:rPr>
                <w:rStyle w:val="Ancladenotaalpie"/>
                <w:rFonts w:ascii="Times New Roman" w:eastAsia="Cambria" w:hAnsi="Times New Roman" w:cs="Times New Roman"/>
                <w:color w:val="000000"/>
                <w:lang w:val="es-ES" w:eastAsia="en-US"/>
              </w:rPr>
              <w:footnoteReference w:id="8"/>
            </w:r>
            <w:r w:rsidRPr="00CC67C2">
              <w:rPr>
                <w:rFonts w:ascii="Times New Roman" w:eastAsia="Cambria" w:hAnsi="Times New Roman" w:cs="Times New Roman"/>
                <w:color w:val="000000"/>
                <w:lang w:val="es-ES" w:eastAsia="en-US"/>
              </w:rPr>
              <w:t xml:space="preserve"> </w:t>
            </w:r>
          </w:p>
          <w:p w:rsidR="006A4D59" w:rsidRPr="00CC67C2" w:rsidRDefault="006A4D59" w:rsidP="00CC67C2">
            <w:pPr>
              <w:spacing w:after="240" w:line="360" w:lineRule="auto"/>
              <w:jc w:val="both"/>
              <w:rPr>
                <w:rFonts w:ascii="Times New Roman" w:eastAsia="Cambria" w:hAnsi="Times New Roman" w:cs="Times New Roman"/>
                <w:color w:val="000000"/>
                <w:lang w:val="es-ES" w:eastAsia="en-US"/>
              </w:rPr>
            </w:pPr>
          </w:p>
        </w:tc>
        <w:tc>
          <w:tcPr>
            <w:tcW w:w="6349" w:type="dxa"/>
            <w:shd w:val="clear" w:color="auto" w:fill="auto"/>
          </w:tcPr>
          <w:p w:rsidR="006A4D59" w:rsidRPr="00CC67C2" w:rsidRDefault="00921711" w:rsidP="00CC67C2">
            <w:pPr>
              <w:numPr>
                <w:ilvl w:val="0"/>
                <w:numId w:val="32"/>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fecha:2020-JUL-01.</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32"/>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 xml:space="preserve"> Info ICIJ</w:t>
            </w:r>
            <w:r w:rsidRPr="00CC67C2">
              <w:rPr>
                <w:rFonts w:ascii="Times New Roman" w:eastAsia="Cambria" w:hAnsi="Times New Roman" w:cs="Times New Roman"/>
                <w:b/>
                <w:color w:val="000000"/>
                <w:lang w:val="es-ES" w:eastAsia="en-US"/>
              </w:rPr>
              <w:t>:</w:t>
            </w:r>
            <w:r w:rsidR="00677E33" w:rsidRPr="00CC67C2">
              <w:rPr>
                <w:rFonts w:ascii="Times New Roman" w:eastAsia="Cambria" w:hAnsi="Times New Roman" w:cs="Times New Roman"/>
                <w:b/>
                <w:color w:val="000000"/>
                <w:lang w:val="es-ES" w:eastAsia="en-US"/>
              </w:rPr>
              <w:t xml:space="preserve"> </w:t>
            </w:r>
            <w:r w:rsidRPr="00CC67C2">
              <w:rPr>
                <w:rFonts w:ascii="Times New Roman" w:eastAsia="Cambria" w:hAnsi="Times New Roman" w:cs="Times New Roman"/>
                <w:b/>
                <w:color w:val="000000"/>
                <w:lang w:val="es-ES" w:eastAsia="en-US"/>
              </w:rPr>
              <w:t>los datos son actuales hasta el 2008.</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32"/>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Proveedor: Alcogal</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32"/>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Fecha de Registro: 2008-JUN-04.</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32"/>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Jurisdicción: Panamá.</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32"/>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Fuente: Papeles de pandora - Alemán, Cordero, Galindo &amp; Lee (Alcogal).</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32"/>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Punto de identificación: 7EF448F0ADB95740BFD4E28C28275261</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32"/>
              </w:numPr>
              <w:spacing w:after="240" w:line="360" w:lineRule="auto"/>
              <w:jc w:val="both"/>
              <w:rPr>
                <w:rFonts w:ascii="Times New Roman" w:eastAsia="Cambria" w:hAnsi="Times New Roman" w:cs="Times New Roman"/>
                <w:b/>
                <w:color w:val="000000"/>
                <w:lang w:val="es-ES" w:eastAsia="en-US"/>
              </w:rPr>
            </w:pPr>
            <w:r w:rsidRPr="00CC67C2">
              <w:rPr>
                <w:rFonts w:ascii="Times New Roman" w:eastAsia="Cambria" w:hAnsi="Times New Roman" w:cs="Times New Roman"/>
                <w:b/>
                <w:color w:val="000000"/>
                <w:lang w:val="es-ES" w:eastAsia="en-US"/>
              </w:rPr>
              <w:t>Estado: DISUELTA</w:t>
            </w:r>
          </w:p>
        </w:tc>
      </w:tr>
      <w:tr w:rsidR="006A4D59" w:rsidRPr="0067008A" w:rsidTr="00CC67C2">
        <w:tc>
          <w:tcPr>
            <w:tcW w:w="1668" w:type="dxa"/>
            <w:shd w:val="clear" w:color="auto" w:fill="auto"/>
          </w:tcPr>
          <w:p w:rsidR="006A4D59" w:rsidRPr="00CC67C2" w:rsidRDefault="00921711" w:rsidP="00CC67C2">
            <w:pPr>
              <w:spacing w:after="240" w:line="360" w:lineRule="auto"/>
              <w:jc w:val="both"/>
              <w:rPr>
                <w:rFonts w:ascii="Times New Roman" w:eastAsia="Cambria" w:hAnsi="Times New Roman" w:cs="Times New Roman"/>
                <w:b/>
                <w:bCs/>
                <w:color w:val="000000"/>
                <w:lang w:val="es-ES" w:eastAsia="en-US"/>
              </w:rPr>
            </w:pPr>
            <w:r w:rsidRPr="00CC67C2">
              <w:rPr>
                <w:rFonts w:ascii="Times New Roman" w:eastAsia="Cambria" w:hAnsi="Times New Roman" w:cs="Times New Roman"/>
                <w:b/>
                <w:bCs/>
                <w:color w:val="000000"/>
                <w:lang w:val="es-ES" w:eastAsia="en-US"/>
              </w:rPr>
              <w:t>Director, Administrador</w:t>
            </w:r>
          </w:p>
        </w:tc>
        <w:tc>
          <w:tcPr>
            <w:tcW w:w="1559" w:type="dxa"/>
            <w:shd w:val="clear" w:color="auto" w:fill="auto"/>
          </w:tcPr>
          <w:p w:rsidR="006A4D59" w:rsidRPr="00CC67C2" w:rsidRDefault="00921711" w:rsidP="00CC67C2">
            <w:p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 xml:space="preserve">POSITANO TRADE LLC </w:t>
            </w:r>
          </w:p>
          <w:p w:rsidR="006A4D59" w:rsidRPr="00CC67C2" w:rsidRDefault="006A4D59" w:rsidP="00CC67C2">
            <w:pPr>
              <w:spacing w:after="240" w:line="360" w:lineRule="auto"/>
              <w:jc w:val="both"/>
              <w:rPr>
                <w:rFonts w:ascii="Times New Roman" w:eastAsia="Cambria" w:hAnsi="Times New Roman" w:cs="Times New Roman"/>
                <w:color w:val="000000"/>
                <w:lang w:val="es-ES" w:eastAsia="en-US"/>
              </w:rPr>
            </w:pPr>
          </w:p>
        </w:tc>
        <w:tc>
          <w:tcPr>
            <w:tcW w:w="6349" w:type="dxa"/>
            <w:shd w:val="clear" w:color="auto" w:fill="auto"/>
          </w:tcPr>
          <w:p w:rsidR="006A4D59" w:rsidRPr="00CC67C2" w:rsidRDefault="00921711" w:rsidP="00CC67C2">
            <w:pPr>
              <w:numPr>
                <w:ilvl w:val="0"/>
                <w:numId w:val="33"/>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fecha: 2015-Oct-15.</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33"/>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Info ICIJ:</w:t>
            </w:r>
            <w:r w:rsidR="00677E33" w:rsidRPr="00CC67C2">
              <w:rPr>
                <w:rFonts w:ascii="Times New Roman" w:eastAsia="Cambria" w:hAnsi="Times New Roman" w:cs="Times New Roman"/>
                <w:color w:val="000000"/>
                <w:lang w:val="es-ES" w:eastAsia="en-US"/>
              </w:rPr>
              <w:t xml:space="preserve"> </w:t>
            </w:r>
            <w:r w:rsidRPr="00CC67C2">
              <w:rPr>
                <w:rFonts w:ascii="Times New Roman" w:eastAsia="Cambria" w:hAnsi="Times New Roman" w:cs="Times New Roman"/>
                <w:b/>
                <w:color w:val="000000"/>
                <w:lang w:val="es-ES" w:eastAsia="en-US"/>
              </w:rPr>
              <w:t>los datos son actuales hasta el 2013.</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33"/>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Proveedor: Alcogal</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33"/>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Fecha de Registro: 2012-Enero-19.</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33"/>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Jurisdicción: Estados Unidos (DELAWARE).</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33"/>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Fuente: Papeles de pandora - Alemán, Cordero, Galindo &amp; Lee (Alcogal).</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33"/>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Punto de identificación: 0E1FDD280C84D101E00A4FDA0778D94.</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33"/>
              </w:numPr>
              <w:spacing w:after="240" w:line="360" w:lineRule="auto"/>
              <w:jc w:val="both"/>
              <w:rPr>
                <w:rFonts w:ascii="Times New Roman" w:eastAsia="Cambria" w:hAnsi="Times New Roman" w:cs="Times New Roman"/>
                <w:b/>
                <w:color w:val="000000"/>
                <w:lang w:val="es-ES" w:eastAsia="en-US"/>
              </w:rPr>
            </w:pPr>
            <w:r w:rsidRPr="00CC67C2">
              <w:rPr>
                <w:rFonts w:ascii="Times New Roman" w:eastAsia="Cambria" w:hAnsi="Times New Roman" w:cs="Times New Roman"/>
                <w:b/>
                <w:color w:val="000000"/>
                <w:lang w:val="es-ES" w:eastAsia="en-US"/>
              </w:rPr>
              <w:t>Estado: DISUELTA.</w:t>
            </w:r>
          </w:p>
        </w:tc>
      </w:tr>
      <w:tr w:rsidR="006A4D59" w:rsidRPr="0067008A" w:rsidTr="00CC67C2">
        <w:tc>
          <w:tcPr>
            <w:tcW w:w="1668" w:type="dxa"/>
            <w:shd w:val="clear" w:color="auto" w:fill="auto"/>
          </w:tcPr>
          <w:p w:rsidR="006A4D59" w:rsidRPr="00CC67C2" w:rsidRDefault="00921711" w:rsidP="00CC67C2">
            <w:pPr>
              <w:spacing w:after="240" w:line="360" w:lineRule="auto"/>
              <w:jc w:val="both"/>
              <w:rPr>
                <w:rFonts w:ascii="Times New Roman" w:eastAsia="Cambria" w:hAnsi="Times New Roman" w:cs="Times New Roman"/>
                <w:b/>
                <w:bCs/>
                <w:color w:val="000000"/>
                <w:lang w:val="es-ES" w:eastAsia="en-US"/>
              </w:rPr>
            </w:pPr>
            <w:r w:rsidRPr="00CC67C2">
              <w:rPr>
                <w:rFonts w:ascii="Times New Roman" w:eastAsia="Cambria" w:hAnsi="Times New Roman" w:cs="Times New Roman"/>
                <w:b/>
                <w:bCs/>
                <w:color w:val="000000"/>
                <w:lang w:val="es-ES" w:eastAsia="en-US"/>
              </w:rPr>
              <w:t>Abogado de Poder</w:t>
            </w:r>
          </w:p>
          <w:p w:rsidR="006A4D59" w:rsidRPr="00CC67C2" w:rsidRDefault="006A4D59" w:rsidP="00CC67C2">
            <w:pPr>
              <w:spacing w:after="240" w:line="360" w:lineRule="auto"/>
              <w:jc w:val="both"/>
              <w:rPr>
                <w:rFonts w:ascii="Times New Roman" w:eastAsia="Cambria" w:hAnsi="Times New Roman" w:cs="Times New Roman"/>
                <w:b/>
                <w:bCs/>
                <w:color w:val="000000"/>
                <w:lang w:val="es-ES" w:eastAsia="en-US"/>
              </w:rPr>
            </w:pPr>
          </w:p>
        </w:tc>
        <w:tc>
          <w:tcPr>
            <w:tcW w:w="1559" w:type="dxa"/>
            <w:shd w:val="clear" w:color="auto" w:fill="auto"/>
          </w:tcPr>
          <w:p w:rsidR="006A4D59" w:rsidRPr="00CC67C2" w:rsidRDefault="00921711" w:rsidP="00CC67C2">
            <w:p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Bretten Holdings INC</w:t>
            </w:r>
            <w:r w:rsidRPr="00CC67C2">
              <w:rPr>
                <w:rStyle w:val="Ancladenotaalpie"/>
                <w:rFonts w:ascii="Times New Roman" w:eastAsia="Cambria" w:hAnsi="Times New Roman" w:cs="Times New Roman"/>
                <w:color w:val="000000"/>
                <w:lang w:val="es-ES" w:eastAsia="en-US"/>
              </w:rPr>
              <w:footnoteReference w:id="9"/>
            </w:r>
            <w:r w:rsidRPr="00CC67C2">
              <w:rPr>
                <w:rFonts w:ascii="Times New Roman" w:eastAsia="Cambria" w:hAnsi="Times New Roman" w:cs="Times New Roman"/>
                <w:color w:val="000000"/>
                <w:lang w:val="es-ES" w:eastAsia="en-US"/>
              </w:rPr>
              <w:t xml:space="preserve"> </w:t>
            </w:r>
          </w:p>
          <w:p w:rsidR="006A4D59" w:rsidRPr="00CC67C2" w:rsidRDefault="006A4D59" w:rsidP="00CC67C2">
            <w:pPr>
              <w:spacing w:after="240" w:line="360" w:lineRule="auto"/>
              <w:jc w:val="both"/>
              <w:rPr>
                <w:rFonts w:ascii="Times New Roman" w:eastAsia="Cambria" w:hAnsi="Times New Roman" w:cs="Times New Roman"/>
                <w:color w:val="000000"/>
                <w:lang w:val="es-ES" w:eastAsia="en-US"/>
              </w:rPr>
            </w:pPr>
          </w:p>
        </w:tc>
        <w:tc>
          <w:tcPr>
            <w:tcW w:w="6349" w:type="dxa"/>
            <w:shd w:val="clear" w:color="auto" w:fill="auto"/>
          </w:tcPr>
          <w:p w:rsidR="006A4D59" w:rsidRPr="00CC67C2" w:rsidRDefault="00921711" w:rsidP="00CC67C2">
            <w:pPr>
              <w:numPr>
                <w:ilvl w:val="0"/>
                <w:numId w:val="33"/>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fecha: 2020-JUL-02.</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33"/>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Info ICIJ:</w:t>
            </w:r>
            <w:r w:rsidR="00677E33" w:rsidRPr="00CC67C2">
              <w:rPr>
                <w:rFonts w:ascii="Times New Roman" w:eastAsia="Cambria" w:hAnsi="Times New Roman" w:cs="Times New Roman"/>
                <w:color w:val="000000"/>
                <w:lang w:val="es-ES" w:eastAsia="en-US"/>
              </w:rPr>
              <w:t xml:space="preserve"> </w:t>
            </w:r>
            <w:r w:rsidRPr="00CC67C2">
              <w:rPr>
                <w:rFonts w:ascii="Times New Roman" w:eastAsia="Cambria" w:hAnsi="Times New Roman" w:cs="Times New Roman"/>
                <w:b/>
                <w:color w:val="000000"/>
                <w:lang w:val="es-ES" w:eastAsia="en-US"/>
              </w:rPr>
              <w:t>los datos son actuales hasta el 2009.</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33"/>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Proveedor: Alcogal</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33"/>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Fecha de Registro: 1999-SEP-30.</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33"/>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Jurisdicción: Panamá.</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33"/>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Fuente: Papeles de pandora - Alemán, Cordero, Galindo &amp; Lee (Alcogal).</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33"/>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Punto de identificación: 87BE49B242C0A9EBD1760F6A36F5D2A5</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33"/>
              </w:numPr>
              <w:spacing w:after="240" w:line="360" w:lineRule="auto"/>
              <w:jc w:val="both"/>
              <w:rPr>
                <w:rFonts w:ascii="Times New Roman" w:eastAsia="Cambria" w:hAnsi="Times New Roman" w:cs="Times New Roman"/>
                <w:b/>
                <w:color w:val="000000"/>
                <w:lang w:val="es-ES" w:eastAsia="en-US"/>
              </w:rPr>
            </w:pPr>
            <w:r w:rsidRPr="00CC67C2">
              <w:rPr>
                <w:rFonts w:ascii="Times New Roman" w:eastAsia="Cambria" w:hAnsi="Times New Roman" w:cs="Times New Roman"/>
                <w:b/>
                <w:color w:val="000000"/>
                <w:lang w:val="es-ES" w:eastAsia="en-US"/>
              </w:rPr>
              <w:t>Estado: DISUELTA.</w:t>
            </w:r>
          </w:p>
        </w:tc>
      </w:tr>
      <w:tr w:rsidR="006A4D59" w:rsidRPr="0067008A" w:rsidTr="00CC67C2">
        <w:tc>
          <w:tcPr>
            <w:tcW w:w="1668" w:type="dxa"/>
            <w:shd w:val="clear" w:color="auto" w:fill="auto"/>
          </w:tcPr>
          <w:p w:rsidR="006A4D59" w:rsidRPr="00CC67C2" w:rsidRDefault="00921711" w:rsidP="00CC67C2">
            <w:pPr>
              <w:spacing w:after="240" w:line="360" w:lineRule="auto"/>
              <w:jc w:val="both"/>
              <w:rPr>
                <w:rFonts w:ascii="Times New Roman" w:eastAsia="Cambria" w:hAnsi="Times New Roman" w:cs="Times New Roman"/>
                <w:b/>
                <w:bCs/>
                <w:color w:val="000000"/>
                <w:lang w:val="es-ES" w:eastAsia="en-US"/>
              </w:rPr>
            </w:pPr>
            <w:r w:rsidRPr="00CC67C2">
              <w:rPr>
                <w:rFonts w:ascii="Times New Roman" w:eastAsia="Cambria" w:hAnsi="Times New Roman" w:cs="Times New Roman"/>
                <w:b/>
                <w:bCs/>
                <w:color w:val="000000"/>
                <w:lang w:val="es-ES" w:eastAsia="en-US"/>
              </w:rPr>
              <w:t>Dueño Beneficiario</w:t>
            </w:r>
          </w:p>
        </w:tc>
        <w:tc>
          <w:tcPr>
            <w:tcW w:w="1559" w:type="dxa"/>
            <w:shd w:val="clear" w:color="auto" w:fill="auto"/>
          </w:tcPr>
          <w:p w:rsidR="006A4D59" w:rsidRPr="00CC67C2" w:rsidRDefault="00921711" w:rsidP="00CC67C2">
            <w:p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 xml:space="preserve">Fundación Bienes Raíces </w:t>
            </w:r>
          </w:p>
          <w:p w:rsidR="006A4D59" w:rsidRPr="00CC67C2" w:rsidRDefault="006A4D59" w:rsidP="00CC67C2">
            <w:pPr>
              <w:spacing w:after="240" w:line="360" w:lineRule="auto"/>
              <w:ind w:left="360"/>
              <w:jc w:val="both"/>
              <w:rPr>
                <w:rFonts w:ascii="Times New Roman" w:eastAsia="Cambria" w:hAnsi="Times New Roman" w:cs="Times New Roman"/>
                <w:color w:val="000000"/>
                <w:lang w:val="es-ES" w:eastAsia="en-US"/>
              </w:rPr>
            </w:pPr>
          </w:p>
        </w:tc>
        <w:tc>
          <w:tcPr>
            <w:tcW w:w="6349" w:type="dxa"/>
            <w:shd w:val="clear" w:color="auto" w:fill="auto"/>
          </w:tcPr>
          <w:p w:rsidR="006A4D59" w:rsidRPr="00CC67C2" w:rsidRDefault="00921711" w:rsidP="00CC67C2">
            <w:pPr>
              <w:numPr>
                <w:ilvl w:val="0"/>
                <w:numId w:val="33"/>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fecha: 2015-Oct-15.</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33"/>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Info ICIJ:</w:t>
            </w:r>
            <w:r w:rsidR="00677E33" w:rsidRPr="00CC67C2">
              <w:rPr>
                <w:rFonts w:ascii="Times New Roman" w:eastAsia="Cambria" w:hAnsi="Times New Roman" w:cs="Times New Roman"/>
                <w:color w:val="000000"/>
                <w:lang w:val="es-ES" w:eastAsia="en-US"/>
              </w:rPr>
              <w:t xml:space="preserve"> </w:t>
            </w:r>
            <w:r w:rsidRPr="00CC67C2">
              <w:rPr>
                <w:rFonts w:ascii="Times New Roman" w:eastAsia="Cambria" w:hAnsi="Times New Roman" w:cs="Times New Roman"/>
                <w:color w:val="000000"/>
                <w:lang w:val="es-ES" w:eastAsia="en-US"/>
              </w:rPr>
              <w:t>los datos son actuales hasta el 2013.</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33"/>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Proveedor: Alcogal</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33"/>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Fecha de Registro: 2012-Enero-19.</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33"/>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Jurisdicción: Estados Unidos (DELAWARE).</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33"/>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Fuente: Papeles de pandora - Alemán, Cordero, Galindo &amp; Lee (Alcogal).</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33"/>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Punto de identificación: 0E1FDD280C84D101E00A4FDA0778D94</w:t>
            </w:r>
          </w:p>
          <w:p w:rsidR="006A4D59" w:rsidRPr="00CC67C2" w:rsidRDefault="00921711" w:rsidP="00CC67C2">
            <w:pPr>
              <w:numPr>
                <w:ilvl w:val="0"/>
                <w:numId w:val="33"/>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Estado: DISUELTA</w:t>
            </w:r>
          </w:p>
        </w:tc>
      </w:tr>
      <w:tr w:rsidR="006A4D59" w:rsidRPr="0067008A" w:rsidTr="00CC67C2">
        <w:tc>
          <w:tcPr>
            <w:tcW w:w="1668" w:type="dxa"/>
            <w:shd w:val="clear" w:color="auto" w:fill="auto"/>
          </w:tcPr>
          <w:p w:rsidR="006A4D59" w:rsidRPr="00CC67C2" w:rsidRDefault="00921711" w:rsidP="00CC67C2">
            <w:pPr>
              <w:spacing w:after="240" w:line="360" w:lineRule="auto"/>
              <w:jc w:val="both"/>
              <w:rPr>
                <w:rFonts w:ascii="Times New Roman" w:eastAsia="Cambria" w:hAnsi="Times New Roman" w:cs="Times New Roman"/>
                <w:b/>
                <w:bCs/>
                <w:color w:val="000000"/>
                <w:lang w:val="es-ES" w:eastAsia="en-US"/>
              </w:rPr>
            </w:pPr>
            <w:r w:rsidRPr="00CC67C2">
              <w:rPr>
                <w:rFonts w:ascii="Times New Roman" w:eastAsia="Cambria" w:hAnsi="Times New Roman" w:cs="Times New Roman"/>
                <w:b/>
                <w:bCs/>
                <w:color w:val="000000"/>
                <w:lang w:val="es-ES" w:eastAsia="en-US"/>
              </w:rPr>
              <w:t xml:space="preserve">Vinculado </w:t>
            </w:r>
          </w:p>
        </w:tc>
        <w:tc>
          <w:tcPr>
            <w:tcW w:w="1559" w:type="dxa"/>
            <w:shd w:val="clear" w:color="auto" w:fill="auto"/>
          </w:tcPr>
          <w:p w:rsidR="006A4D59" w:rsidRPr="00CC67C2" w:rsidRDefault="00921711" w:rsidP="00CC67C2">
            <w:p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Bretten Trust</w:t>
            </w:r>
          </w:p>
        </w:tc>
        <w:tc>
          <w:tcPr>
            <w:tcW w:w="6349" w:type="dxa"/>
            <w:shd w:val="clear" w:color="auto" w:fill="auto"/>
          </w:tcPr>
          <w:p w:rsidR="006A4D59" w:rsidRPr="00CC67C2" w:rsidRDefault="00921711" w:rsidP="00CC67C2">
            <w:pPr>
              <w:numPr>
                <w:ilvl w:val="0"/>
                <w:numId w:val="33"/>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Info ICIJ:</w:t>
            </w:r>
            <w:r w:rsidR="00677E33" w:rsidRPr="00CC67C2">
              <w:rPr>
                <w:rFonts w:ascii="Times New Roman" w:eastAsia="Cambria" w:hAnsi="Times New Roman" w:cs="Times New Roman"/>
                <w:color w:val="000000"/>
                <w:lang w:val="es-ES" w:eastAsia="en-US"/>
              </w:rPr>
              <w:t xml:space="preserve"> </w:t>
            </w:r>
            <w:r w:rsidRPr="00CC67C2">
              <w:rPr>
                <w:rFonts w:ascii="Times New Roman" w:eastAsia="Cambria" w:hAnsi="Times New Roman" w:cs="Times New Roman"/>
                <w:b/>
                <w:color w:val="000000"/>
                <w:lang w:val="es-ES" w:eastAsia="en-US"/>
              </w:rPr>
              <w:t>los datos son actuales hasta el 2017.</w:t>
            </w:r>
            <w:r w:rsidR="00677E33" w:rsidRPr="00CC67C2">
              <w:rPr>
                <w:rFonts w:ascii="Times New Roman" w:eastAsia="Cambria" w:hAnsi="Times New Roman" w:cs="Times New Roman"/>
                <w:b/>
                <w:color w:val="000000"/>
                <w:lang w:val="es-ES" w:eastAsia="en-US"/>
              </w:rPr>
              <w:t xml:space="preserve"> </w:t>
            </w:r>
          </w:p>
          <w:p w:rsidR="006A4D59" w:rsidRPr="00CC67C2" w:rsidRDefault="00921711" w:rsidP="00CC67C2">
            <w:pPr>
              <w:numPr>
                <w:ilvl w:val="0"/>
                <w:numId w:val="33"/>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Proveedor: Alcogal</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33"/>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Fecha de Registro: 07-DIC-2017.</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33"/>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Jurisdicción: Estados Unidos (Dakota del Sur)</w:t>
            </w:r>
          </w:p>
          <w:p w:rsidR="006A4D59" w:rsidRPr="00CC67C2" w:rsidRDefault="00921711" w:rsidP="00CC67C2">
            <w:pPr>
              <w:numPr>
                <w:ilvl w:val="0"/>
                <w:numId w:val="33"/>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Fuente: Papeles de pandora - Alemán, Cordero, Galindo &amp; Lee (Alcogal).</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33"/>
              </w:numPr>
              <w:spacing w:after="240" w:line="360" w:lineRule="auto"/>
              <w:jc w:val="both"/>
              <w:rPr>
                <w:rFonts w:ascii="Times New Roman" w:eastAsia="Cambria" w:hAnsi="Times New Roman" w:cs="Times New Roman"/>
                <w:color w:val="000000"/>
                <w:lang w:val="es-ES" w:eastAsia="en-US"/>
              </w:rPr>
            </w:pPr>
            <w:r w:rsidRPr="00CC67C2">
              <w:rPr>
                <w:rFonts w:ascii="Times New Roman" w:eastAsia="Cambria" w:hAnsi="Times New Roman" w:cs="Times New Roman"/>
                <w:color w:val="000000"/>
                <w:lang w:val="es-ES" w:eastAsia="en-US"/>
              </w:rPr>
              <w:t>Punto de identificación: C7B2832851F3FEDCC20BA544BB9219A</w:t>
            </w:r>
            <w:r w:rsidR="00677E33" w:rsidRPr="00CC67C2">
              <w:rPr>
                <w:rFonts w:ascii="Times New Roman" w:eastAsia="Cambria" w:hAnsi="Times New Roman" w:cs="Times New Roman"/>
                <w:color w:val="000000"/>
                <w:lang w:val="es-ES" w:eastAsia="en-US"/>
              </w:rPr>
              <w:t xml:space="preserve"> </w:t>
            </w:r>
          </w:p>
          <w:p w:rsidR="006A4D59" w:rsidRPr="00CC67C2" w:rsidRDefault="00921711" w:rsidP="00CC67C2">
            <w:pPr>
              <w:numPr>
                <w:ilvl w:val="0"/>
                <w:numId w:val="33"/>
              </w:numPr>
              <w:spacing w:after="240" w:line="360" w:lineRule="auto"/>
              <w:jc w:val="both"/>
              <w:rPr>
                <w:rFonts w:ascii="Times New Roman" w:eastAsia="Cambria" w:hAnsi="Times New Roman" w:cs="Times New Roman"/>
                <w:b/>
                <w:color w:val="000000"/>
                <w:lang w:val="es-ES" w:eastAsia="en-US"/>
              </w:rPr>
            </w:pPr>
            <w:r w:rsidRPr="00CC67C2">
              <w:rPr>
                <w:rFonts w:ascii="Times New Roman" w:eastAsia="Cambria" w:hAnsi="Times New Roman" w:cs="Times New Roman"/>
                <w:b/>
                <w:color w:val="000000"/>
                <w:lang w:val="es-ES" w:eastAsia="en-US"/>
              </w:rPr>
              <w:t xml:space="preserve">Estado: Información no disponible en el expeidnte </w:t>
            </w:r>
          </w:p>
        </w:tc>
      </w:tr>
    </w:tbl>
    <w:p w:rsidR="006A4D59" w:rsidRPr="0067008A" w:rsidRDefault="006A4D59" w:rsidP="00677E33">
      <w:pPr>
        <w:spacing w:after="240" w:line="360" w:lineRule="auto"/>
        <w:jc w:val="both"/>
        <w:rPr>
          <w:rFonts w:ascii="Times New Roman" w:hAnsi="Times New Roman" w:cs="Times New Roman"/>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De la filtración de los Pandora Papers, salvo POSITANO TRADE LLC, la mayoría de los fideicomisos en off shore no constan en ninguna parte de la información entregada por el grupo Banco de Guayaquil a las autoridades de control del Ecuador. Aunque algunas de ellas consten como disueltas, es importante indicar que su composición, valores, transacciones y transferencias no constan en la información que dispone el SRI y la Superintendencia de Compañías, Valores y Seguros.</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De acuerdo a la filtración de los Pandora Papers, y también en conformidad con la impugnación a la inscripción de la candidatura de Guillermo Lasso Mendoza, se presentó en ese entonces la siguiente información:</w:t>
      </w:r>
    </w:p>
    <w:p w:rsidR="006A4D59" w:rsidRPr="0067008A" w:rsidRDefault="006A4D59" w:rsidP="00677E33">
      <w:pPr>
        <w:spacing w:after="240" w:line="360" w:lineRule="auto"/>
        <w:jc w:val="both"/>
        <w:rPr>
          <w:rFonts w:ascii="Times New Roman" w:hAnsi="Times New Roman" w:cs="Times New Roman"/>
        </w:rPr>
      </w:pPr>
    </w:p>
    <w:tbl>
      <w:tblPr>
        <w:tblW w:w="7908" w:type="dxa"/>
        <w:tblBorders>
          <w:bottom w:val="single" w:sz="12" w:space="0" w:color="FFFFFF"/>
          <w:insideH w:val="single" w:sz="12" w:space="0" w:color="FFFFFF"/>
        </w:tblBorders>
        <w:tblLook w:val="04A0" w:firstRow="1" w:lastRow="0" w:firstColumn="1" w:lastColumn="0" w:noHBand="0" w:noVBand="1"/>
      </w:tblPr>
      <w:tblGrid>
        <w:gridCol w:w="1558"/>
        <w:gridCol w:w="6350"/>
      </w:tblGrid>
      <w:tr w:rsidR="006A4D59" w:rsidRPr="0067008A" w:rsidTr="00CC67C2">
        <w:tc>
          <w:tcPr>
            <w:tcW w:w="1558" w:type="dxa"/>
            <w:tcBorders>
              <w:bottom w:val="single" w:sz="12" w:space="0" w:color="FFFFFF"/>
            </w:tcBorders>
            <w:shd w:val="clear" w:color="auto" w:fill="auto"/>
          </w:tcPr>
          <w:p w:rsidR="006A4D59" w:rsidRPr="00CC67C2" w:rsidRDefault="00921711" w:rsidP="00CC67C2">
            <w:pPr>
              <w:spacing w:after="240" w:line="360" w:lineRule="auto"/>
              <w:jc w:val="both"/>
              <w:rPr>
                <w:rFonts w:ascii="Times New Roman" w:eastAsia="Cambria" w:hAnsi="Times New Roman" w:cs="Times New Roman"/>
                <w:b/>
                <w:bCs/>
                <w:color w:val="FFFFFF"/>
                <w:lang w:val="es-EC" w:eastAsia="en-US"/>
              </w:rPr>
            </w:pPr>
            <w:r w:rsidRPr="00CC67C2">
              <w:rPr>
                <w:rFonts w:ascii="Times New Roman" w:eastAsia="Cambria" w:hAnsi="Times New Roman" w:cs="Times New Roman"/>
                <w:b/>
                <w:bCs/>
                <w:color w:val="FFFFFF"/>
                <w:lang w:val="es-ES" w:eastAsia="en-US"/>
              </w:rPr>
              <w:t>Corporación de Inversión Grupo Nora</w:t>
            </w:r>
          </w:p>
          <w:p w:rsidR="006A4D59" w:rsidRPr="00CC67C2" w:rsidRDefault="00921711" w:rsidP="00CC67C2">
            <w:pPr>
              <w:spacing w:after="240" w:line="360" w:lineRule="auto"/>
              <w:jc w:val="both"/>
              <w:rPr>
                <w:rFonts w:ascii="Times New Roman" w:eastAsia="Cambria" w:hAnsi="Times New Roman" w:cs="Times New Roman"/>
                <w:b/>
                <w:bCs/>
                <w:color w:val="FFFFFF"/>
                <w:lang w:val="es-ES" w:eastAsia="en-US"/>
              </w:rPr>
            </w:pPr>
            <w:r w:rsidRPr="00CC67C2">
              <w:rPr>
                <w:rFonts w:ascii="Times New Roman" w:eastAsia="Cambria" w:hAnsi="Times New Roman" w:cs="Times New Roman"/>
                <w:b/>
                <w:bCs/>
                <w:color w:val="FFFFFF"/>
                <w:lang w:val="es-EC" w:eastAsia="en-US"/>
              </w:rPr>
              <w:t>(Los activos de Nora Group Investment Corp. fueron transferidos a la empresa canadiense Liberty Holdings LP, perteneciente también al fideicomiso Liberty Trust)</w:t>
            </w:r>
            <w:r w:rsidRPr="00CC67C2">
              <w:rPr>
                <w:rFonts w:ascii="Times New Roman" w:eastAsia="Cambria" w:hAnsi="Times New Roman" w:cs="Times New Roman"/>
                <w:b/>
                <w:bCs/>
                <w:color w:val="FFFFFF"/>
                <w:lang w:val="es-ES" w:eastAsia="en-US"/>
              </w:rPr>
              <w:t xml:space="preserve"> </w:t>
            </w:r>
          </w:p>
          <w:p w:rsidR="006A4D59" w:rsidRPr="00CC67C2" w:rsidRDefault="006A4D59" w:rsidP="00CC67C2">
            <w:pPr>
              <w:spacing w:after="240" w:line="360" w:lineRule="auto"/>
              <w:jc w:val="both"/>
              <w:rPr>
                <w:rFonts w:ascii="Times New Roman" w:eastAsia="Cambria" w:hAnsi="Times New Roman" w:cs="Times New Roman"/>
                <w:b/>
                <w:bCs/>
                <w:color w:val="FFFFFF"/>
                <w:lang w:val="es-ES" w:eastAsia="en-US"/>
              </w:rPr>
            </w:pPr>
          </w:p>
        </w:tc>
        <w:tc>
          <w:tcPr>
            <w:tcW w:w="6349" w:type="dxa"/>
            <w:tcBorders>
              <w:bottom w:val="single" w:sz="12" w:space="0" w:color="FFFFFF"/>
            </w:tcBorders>
            <w:shd w:val="clear" w:color="auto" w:fill="auto"/>
          </w:tcPr>
          <w:p w:rsidR="006A4D59" w:rsidRPr="00CC67C2" w:rsidRDefault="00921711" w:rsidP="00CC67C2">
            <w:pPr>
              <w:numPr>
                <w:ilvl w:val="0"/>
                <w:numId w:val="31"/>
              </w:numPr>
              <w:spacing w:after="240" w:line="360" w:lineRule="auto"/>
              <w:jc w:val="both"/>
              <w:rPr>
                <w:rFonts w:ascii="Times New Roman" w:eastAsia="Cambria" w:hAnsi="Times New Roman" w:cs="Times New Roman"/>
                <w:b/>
                <w:bCs/>
                <w:color w:val="FFFFFF"/>
                <w:lang w:val="es-ES" w:eastAsia="en-US"/>
              </w:rPr>
            </w:pPr>
            <w:r w:rsidRPr="00CC67C2">
              <w:rPr>
                <w:rFonts w:ascii="Times New Roman" w:eastAsia="Cambria" w:hAnsi="Times New Roman" w:cs="Times New Roman"/>
                <w:b/>
                <w:bCs/>
                <w:color w:val="FFFFFF"/>
                <w:lang w:val="es-ES" w:eastAsia="en-US"/>
              </w:rPr>
              <w:t>Fecha: 2018-ENE-22.</w:t>
            </w:r>
            <w:r w:rsidR="00677E33" w:rsidRPr="00CC67C2">
              <w:rPr>
                <w:rFonts w:ascii="Times New Roman" w:eastAsia="Cambria" w:hAnsi="Times New Roman" w:cs="Times New Roman"/>
                <w:b/>
                <w:bCs/>
                <w:color w:val="FFFFFF"/>
                <w:lang w:val="es-ES" w:eastAsia="en-US"/>
              </w:rPr>
              <w:t xml:space="preserve"> </w:t>
            </w:r>
          </w:p>
          <w:p w:rsidR="006A4D59" w:rsidRPr="00CC67C2" w:rsidRDefault="00921711" w:rsidP="00CC67C2">
            <w:pPr>
              <w:numPr>
                <w:ilvl w:val="0"/>
                <w:numId w:val="31"/>
              </w:numPr>
              <w:spacing w:after="240" w:line="360" w:lineRule="auto"/>
              <w:jc w:val="both"/>
              <w:rPr>
                <w:rFonts w:ascii="Times New Roman" w:eastAsia="Cambria" w:hAnsi="Times New Roman" w:cs="Times New Roman"/>
                <w:b/>
                <w:bCs/>
                <w:color w:val="FFFFFF"/>
                <w:lang w:val="es-ES" w:eastAsia="en-US"/>
              </w:rPr>
            </w:pPr>
            <w:r w:rsidRPr="00CC67C2">
              <w:rPr>
                <w:rFonts w:ascii="Times New Roman" w:eastAsia="Cambria" w:hAnsi="Times New Roman" w:cs="Times New Roman"/>
                <w:b/>
                <w:bCs/>
                <w:color w:val="FFFFFF"/>
                <w:lang w:val="es-ES" w:eastAsia="en-US"/>
              </w:rPr>
              <w:t>Info ICIJ:</w:t>
            </w:r>
            <w:r w:rsidR="00677E33" w:rsidRPr="00CC67C2">
              <w:rPr>
                <w:rFonts w:ascii="Times New Roman" w:eastAsia="Cambria" w:hAnsi="Times New Roman" w:cs="Times New Roman"/>
                <w:b/>
                <w:bCs/>
                <w:color w:val="FFFFFF"/>
                <w:lang w:val="es-ES" w:eastAsia="en-US"/>
              </w:rPr>
              <w:t xml:space="preserve"> </w:t>
            </w:r>
            <w:r w:rsidRPr="00CC67C2">
              <w:rPr>
                <w:rFonts w:ascii="Times New Roman" w:eastAsia="Cambria" w:hAnsi="Times New Roman" w:cs="Times New Roman"/>
                <w:b/>
                <w:bCs/>
                <w:color w:val="FFFFFF"/>
                <w:lang w:val="es-ES" w:eastAsia="en-US"/>
              </w:rPr>
              <w:t>los datos son actuales hasta el 2018.</w:t>
            </w:r>
            <w:r w:rsidR="00677E33" w:rsidRPr="00CC67C2">
              <w:rPr>
                <w:rFonts w:ascii="Times New Roman" w:eastAsia="Cambria" w:hAnsi="Times New Roman" w:cs="Times New Roman"/>
                <w:b/>
                <w:bCs/>
                <w:color w:val="FFFFFF"/>
                <w:lang w:val="es-ES" w:eastAsia="en-US"/>
              </w:rPr>
              <w:t xml:space="preserve"> </w:t>
            </w:r>
          </w:p>
          <w:p w:rsidR="006A4D59" w:rsidRPr="00CC67C2" w:rsidRDefault="00921711" w:rsidP="00CC67C2">
            <w:pPr>
              <w:numPr>
                <w:ilvl w:val="0"/>
                <w:numId w:val="31"/>
              </w:numPr>
              <w:spacing w:after="240" w:line="360" w:lineRule="auto"/>
              <w:jc w:val="both"/>
              <w:rPr>
                <w:rFonts w:ascii="Times New Roman" w:eastAsia="Cambria" w:hAnsi="Times New Roman" w:cs="Times New Roman"/>
                <w:b/>
                <w:bCs/>
                <w:color w:val="FFFFFF"/>
                <w:lang w:val="es-ES" w:eastAsia="en-US"/>
              </w:rPr>
            </w:pPr>
            <w:r w:rsidRPr="00CC67C2">
              <w:rPr>
                <w:rFonts w:ascii="Times New Roman" w:eastAsia="Cambria" w:hAnsi="Times New Roman" w:cs="Times New Roman"/>
                <w:b/>
                <w:bCs/>
                <w:color w:val="FFFFFF"/>
                <w:lang w:val="es-ES" w:eastAsia="en-US"/>
              </w:rPr>
              <w:t>Proveedor: Alcogal</w:t>
            </w:r>
            <w:r w:rsidR="00677E33" w:rsidRPr="00CC67C2">
              <w:rPr>
                <w:rFonts w:ascii="Times New Roman" w:eastAsia="Cambria" w:hAnsi="Times New Roman" w:cs="Times New Roman"/>
                <w:b/>
                <w:bCs/>
                <w:color w:val="FFFFFF"/>
                <w:lang w:val="es-ES" w:eastAsia="en-US"/>
              </w:rPr>
              <w:t xml:space="preserve"> </w:t>
            </w:r>
          </w:p>
          <w:p w:rsidR="006A4D59" w:rsidRPr="00CC67C2" w:rsidRDefault="00921711" w:rsidP="00CC67C2">
            <w:pPr>
              <w:numPr>
                <w:ilvl w:val="0"/>
                <w:numId w:val="31"/>
              </w:numPr>
              <w:spacing w:after="240" w:line="360" w:lineRule="auto"/>
              <w:jc w:val="both"/>
              <w:rPr>
                <w:rFonts w:ascii="Times New Roman" w:eastAsia="Cambria" w:hAnsi="Times New Roman" w:cs="Times New Roman"/>
                <w:b/>
                <w:bCs/>
                <w:color w:val="FFFFFF"/>
                <w:lang w:val="es-ES" w:eastAsia="en-US"/>
              </w:rPr>
            </w:pPr>
            <w:r w:rsidRPr="00CC67C2">
              <w:rPr>
                <w:rFonts w:ascii="Times New Roman" w:eastAsia="Cambria" w:hAnsi="Times New Roman" w:cs="Times New Roman"/>
                <w:b/>
                <w:bCs/>
                <w:color w:val="FFFFFF"/>
                <w:lang w:val="es-ES" w:eastAsia="en-US"/>
              </w:rPr>
              <w:t>Fecha de Registro: 2011-MAY-19.</w:t>
            </w:r>
            <w:r w:rsidR="00677E33" w:rsidRPr="00CC67C2">
              <w:rPr>
                <w:rFonts w:ascii="Times New Roman" w:eastAsia="Cambria" w:hAnsi="Times New Roman" w:cs="Times New Roman"/>
                <w:b/>
                <w:bCs/>
                <w:color w:val="FFFFFF"/>
                <w:lang w:val="es-ES" w:eastAsia="en-US"/>
              </w:rPr>
              <w:t xml:space="preserve"> </w:t>
            </w:r>
          </w:p>
          <w:p w:rsidR="006A4D59" w:rsidRPr="00CC67C2" w:rsidRDefault="00921711" w:rsidP="00CC67C2">
            <w:pPr>
              <w:numPr>
                <w:ilvl w:val="0"/>
                <w:numId w:val="31"/>
              </w:numPr>
              <w:spacing w:after="240" w:line="360" w:lineRule="auto"/>
              <w:jc w:val="both"/>
              <w:rPr>
                <w:rFonts w:ascii="Times New Roman" w:eastAsia="Cambria" w:hAnsi="Times New Roman" w:cs="Times New Roman"/>
                <w:b/>
                <w:bCs/>
                <w:color w:val="FFFFFF"/>
                <w:lang w:val="es-ES" w:eastAsia="en-US"/>
              </w:rPr>
            </w:pPr>
            <w:r w:rsidRPr="00CC67C2">
              <w:rPr>
                <w:rFonts w:ascii="Times New Roman" w:eastAsia="Cambria" w:hAnsi="Times New Roman" w:cs="Times New Roman"/>
                <w:b/>
                <w:bCs/>
                <w:color w:val="FFFFFF"/>
                <w:lang w:val="es-ES" w:eastAsia="en-US"/>
              </w:rPr>
              <w:t>Jurisdicción: Panamá.</w:t>
            </w:r>
            <w:r w:rsidR="00677E33" w:rsidRPr="00CC67C2">
              <w:rPr>
                <w:rFonts w:ascii="Times New Roman" w:eastAsia="Cambria" w:hAnsi="Times New Roman" w:cs="Times New Roman"/>
                <w:b/>
                <w:bCs/>
                <w:color w:val="FFFFFF"/>
                <w:lang w:val="es-ES" w:eastAsia="en-US"/>
              </w:rPr>
              <w:t xml:space="preserve"> </w:t>
            </w:r>
          </w:p>
          <w:p w:rsidR="006A4D59" w:rsidRPr="00CC67C2" w:rsidRDefault="00921711" w:rsidP="00CC67C2">
            <w:pPr>
              <w:numPr>
                <w:ilvl w:val="0"/>
                <w:numId w:val="31"/>
              </w:numPr>
              <w:spacing w:after="240" w:line="360" w:lineRule="auto"/>
              <w:jc w:val="both"/>
              <w:rPr>
                <w:rFonts w:ascii="Times New Roman" w:eastAsia="Cambria" w:hAnsi="Times New Roman" w:cs="Times New Roman"/>
                <w:b/>
                <w:bCs/>
                <w:color w:val="FFFFFF"/>
                <w:lang w:val="es-ES" w:eastAsia="en-US"/>
              </w:rPr>
            </w:pPr>
            <w:r w:rsidRPr="00CC67C2">
              <w:rPr>
                <w:rFonts w:ascii="Times New Roman" w:eastAsia="Cambria" w:hAnsi="Times New Roman" w:cs="Times New Roman"/>
                <w:b/>
                <w:bCs/>
                <w:color w:val="FFFFFF"/>
                <w:lang w:val="es-ES" w:eastAsia="en-US"/>
              </w:rPr>
              <w:t>Fuente: Papeles de Pandora - Alemán, Cordero, Galindo &amp; Lee (Alcogal).</w:t>
            </w:r>
            <w:r w:rsidR="00677E33" w:rsidRPr="00CC67C2">
              <w:rPr>
                <w:rFonts w:ascii="Times New Roman" w:eastAsia="Cambria" w:hAnsi="Times New Roman" w:cs="Times New Roman"/>
                <w:b/>
                <w:bCs/>
                <w:color w:val="FFFFFF"/>
                <w:lang w:val="es-ES" w:eastAsia="en-US"/>
              </w:rPr>
              <w:t xml:space="preserve"> </w:t>
            </w:r>
          </w:p>
          <w:p w:rsidR="006A4D59" w:rsidRPr="00CC67C2" w:rsidRDefault="00921711" w:rsidP="00CC67C2">
            <w:pPr>
              <w:numPr>
                <w:ilvl w:val="0"/>
                <w:numId w:val="31"/>
              </w:numPr>
              <w:spacing w:after="240" w:line="360" w:lineRule="auto"/>
              <w:rPr>
                <w:rFonts w:ascii="Times New Roman" w:eastAsia="Cambria" w:hAnsi="Times New Roman" w:cs="Times New Roman"/>
                <w:b/>
                <w:bCs/>
                <w:color w:val="FFFFFF"/>
                <w:lang w:val="es-ES" w:eastAsia="en-US"/>
              </w:rPr>
            </w:pPr>
            <w:r w:rsidRPr="00CC67C2">
              <w:rPr>
                <w:rFonts w:ascii="Times New Roman" w:eastAsia="Cambria" w:hAnsi="Times New Roman" w:cs="Times New Roman"/>
                <w:b/>
                <w:bCs/>
                <w:color w:val="FFFFFF"/>
                <w:lang w:val="es-ES" w:eastAsia="en-US"/>
              </w:rPr>
              <w:t>Punto de identificación: A9179D0378F518120992AB62C84EEC8B</w:t>
            </w:r>
            <w:r w:rsidR="00677E33" w:rsidRPr="00CC67C2">
              <w:rPr>
                <w:rFonts w:ascii="Times New Roman" w:eastAsia="Cambria" w:hAnsi="Times New Roman" w:cs="Times New Roman"/>
                <w:b/>
                <w:bCs/>
                <w:color w:val="FFFFFF"/>
                <w:lang w:val="es-ES" w:eastAsia="en-US"/>
              </w:rPr>
              <w:t xml:space="preserve"> </w:t>
            </w:r>
          </w:p>
          <w:p w:rsidR="006A4D59" w:rsidRPr="00CC67C2" w:rsidRDefault="00921711" w:rsidP="00CC67C2">
            <w:pPr>
              <w:numPr>
                <w:ilvl w:val="0"/>
                <w:numId w:val="31"/>
              </w:numPr>
              <w:spacing w:after="240" w:line="360" w:lineRule="auto"/>
              <w:jc w:val="both"/>
              <w:rPr>
                <w:rFonts w:ascii="Times New Roman" w:eastAsia="Cambria" w:hAnsi="Times New Roman" w:cs="Times New Roman"/>
                <w:b/>
                <w:bCs/>
                <w:color w:val="FFFFFF"/>
                <w:lang w:val="es-ES" w:eastAsia="en-US"/>
              </w:rPr>
            </w:pPr>
            <w:r w:rsidRPr="00CC67C2">
              <w:rPr>
                <w:rFonts w:ascii="Times New Roman" w:eastAsia="Cambria" w:hAnsi="Times New Roman" w:cs="Times New Roman"/>
                <w:b/>
                <w:bCs/>
                <w:color w:val="FFFFFF"/>
                <w:lang w:val="es-ES" w:eastAsia="en-US"/>
              </w:rPr>
              <w:t>Estado: DISUELTA POR TRANSFERENCIA</w:t>
            </w:r>
          </w:p>
          <w:p w:rsidR="006A4D59" w:rsidRPr="00CC67C2" w:rsidRDefault="00921711" w:rsidP="00CC67C2">
            <w:pPr>
              <w:numPr>
                <w:ilvl w:val="0"/>
                <w:numId w:val="31"/>
              </w:numPr>
              <w:spacing w:after="240" w:line="360" w:lineRule="auto"/>
              <w:jc w:val="both"/>
              <w:rPr>
                <w:rFonts w:ascii="Times New Roman" w:eastAsia="Cambria" w:hAnsi="Times New Roman" w:cs="Times New Roman"/>
                <w:b/>
                <w:bCs/>
                <w:color w:val="FFFFFF"/>
                <w:u w:val="single"/>
                <w:lang w:val="es-ES" w:eastAsia="en-US"/>
              </w:rPr>
            </w:pPr>
            <w:r w:rsidRPr="00CC67C2">
              <w:rPr>
                <w:rFonts w:ascii="Times New Roman" w:eastAsia="Cambria" w:hAnsi="Times New Roman" w:cs="Times New Roman"/>
                <w:b/>
                <w:bCs/>
                <w:color w:val="FFFFFF"/>
                <w:u w:val="single"/>
                <w:lang w:val="es-ES" w:eastAsia="en-US"/>
              </w:rPr>
              <w:t>Componentes:</w:t>
            </w:r>
          </w:p>
          <w:p w:rsidR="006A4D59" w:rsidRPr="00CC67C2" w:rsidRDefault="00921711" w:rsidP="00CC67C2">
            <w:pPr>
              <w:numPr>
                <w:ilvl w:val="0"/>
                <w:numId w:val="31"/>
              </w:numPr>
              <w:spacing w:after="240" w:line="360" w:lineRule="auto"/>
              <w:jc w:val="both"/>
              <w:rPr>
                <w:rFonts w:ascii="Times New Roman" w:eastAsia="Cambria" w:hAnsi="Times New Roman" w:cs="Times New Roman"/>
                <w:b/>
                <w:bCs/>
                <w:color w:val="FFFFFF"/>
                <w:lang w:val="es-ES" w:eastAsia="en-US"/>
              </w:rPr>
            </w:pPr>
            <w:r w:rsidRPr="00CC67C2">
              <w:rPr>
                <w:rFonts w:ascii="Times New Roman" w:eastAsia="Cambria" w:hAnsi="Times New Roman" w:cs="Times New Roman"/>
                <w:b/>
                <w:bCs/>
                <w:color w:val="FFFFFF"/>
                <w:lang w:val="es-ES" w:eastAsia="en-US"/>
              </w:rPr>
              <w:t>MALENA US LLC</w:t>
            </w:r>
          </w:p>
          <w:p w:rsidR="006A4D59" w:rsidRPr="00CC67C2" w:rsidRDefault="00921711" w:rsidP="00CC67C2">
            <w:pPr>
              <w:numPr>
                <w:ilvl w:val="0"/>
                <w:numId w:val="31"/>
              </w:numPr>
              <w:spacing w:after="240" w:line="360" w:lineRule="auto"/>
              <w:jc w:val="both"/>
              <w:rPr>
                <w:rFonts w:ascii="Times New Roman" w:eastAsia="Cambria" w:hAnsi="Times New Roman" w:cs="Times New Roman"/>
                <w:b/>
                <w:bCs/>
                <w:color w:val="FFFFFF"/>
                <w:lang w:val="es-ES" w:eastAsia="en-US"/>
              </w:rPr>
            </w:pPr>
            <w:r w:rsidRPr="00CC67C2">
              <w:rPr>
                <w:rFonts w:ascii="Times New Roman" w:eastAsia="Cambria" w:hAnsi="Times New Roman" w:cs="Times New Roman"/>
                <w:b/>
                <w:bCs/>
                <w:color w:val="FFFFFF"/>
                <w:lang w:val="es-ES" w:eastAsia="en-US"/>
              </w:rPr>
              <w:t>MALENA UNO US LLC</w:t>
            </w:r>
          </w:p>
          <w:p w:rsidR="006A4D59" w:rsidRPr="00CC67C2" w:rsidRDefault="00921711" w:rsidP="00CC67C2">
            <w:pPr>
              <w:numPr>
                <w:ilvl w:val="0"/>
                <w:numId w:val="31"/>
              </w:numPr>
              <w:spacing w:after="240" w:line="360" w:lineRule="auto"/>
              <w:jc w:val="both"/>
              <w:rPr>
                <w:rFonts w:ascii="Times New Roman" w:eastAsia="Cambria" w:hAnsi="Times New Roman" w:cs="Times New Roman"/>
                <w:b/>
                <w:bCs/>
                <w:color w:val="FFFFFF"/>
                <w:lang w:val="es-ES" w:eastAsia="en-US"/>
              </w:rPr>
            </w:pPr>
            <w:r w:rsidRPr="00CC67C2">
              <w:rPr>
                <w:rFonts w:ascii="Times New Roman" w:eastAsia="Cambria" w:hAnsi="Times New Roman" w:cs="Times New Roman"/>
                <w:b/>
                <w:bCs/>
                <w:color w:val="FFFFFF"/>
                <w:lang w:val="es-ES" w:eastAsia="en-US"/>
              </w:rPr>
              <w:t>NORA INVESTMENTS LLC</w:t>
            </w:r>
          </w:p>
          <w:p w:rsidR="006A4D59" w:rsidRPr="00CC67C2" w:rsidRDefault="00921711" w:rsidP="00CC67C2">
            <w:pPr>
              <w:numPr>
                <w:ilvl w:val="0"/>
                <w:numId w:val="31"/>
              </w:numPr>
              <w:spacing w:after="240" w:line="360" w:lineRule="auto"/>
              <w:jc w:val="both"/>
              <w:rPr>
                <w:rFonts w:ascii="Times New Roman" w:eastAsia="Cambria" w:hAnsi="Times New Roman" w:cs="Times New Roman"/>
                <w:b/>
                <w:bCs/>
                <w:color w:val="FFFFFF"/>
                <w:lang w:val="es-ES" w:eastAsia="en-US"/>
              </w:rPr>
            </w:pPr>
            <w:r w:rsidRPr="00CC67C2">
              <w:rPr>
                <w:rFonts w:ascii="Times New Roman" w:eastAsia="Cambria" w:hAnsi="Times New Roman" w:cs="Times New Roman"/>
                <w:b/>
                <w:bCs/>
                <w:color w:val="FFFFFF"/>
                <w:lang w:val="es-ES" w:eastAsia="en-US"/>
              </w:rPr>
              <w:t>NORA INVESTMENTS UNO LLC</w:t>
            </w:r>
          </w:p>
          <w:p w:rsidR="006A4D59" w:rsidRPr="00CC67C2" w:rsidRDefault="00921711" w:rsidP="00CC67C2">
            <w:pPr>
              <w:numPr>
                <w:ilvl w:val="0"/>
                <w:numId w:val="31"/>
              </w:numPr>
              <w:spacing w:after="240" w:line="360" w:lineRule="auto"/>
              <w:jc w:val="both"/>
              <w:rPr>
                <w:rFonts w:ascii="Times New Roman" w:eastAsia="Cambria" w:hAnsi="Times New Roman" w:cs="Times New Roman"/>
                <w:b/>
                <w:bCs/>
                <w:color w:val="FFFFFF"/>
                <w:lang w:val="es-ES" w:eastAsia="en-US"/>
              </w:rPr>
            </w:pPr>
            <w:r w:rsidRPr="00CC67C2">
              <w:rPr>
                <w:rFonts w:ascii="Times New Roman" w:eastAsia="Cambria" w:hAnsi="Times New Roman" w:cs="Times New Roman"/>
                <w:b/>
                <w:bCs/>
                <w:color w:val="FFFFFF"/>
                <w:lang w:val="es-ES" w:eastAsia="en-US"/>
              </w:rPr>
              <w:t>NORA INVESTMENTS DOS LLC</w:t>
            </w:r>
          </w:p>
          <w:p w:rsidR="006A4D59" w:rsidRPr="00CC67C2" w:rsidRDefault="00921711" w:rsidP="00CC67C2">
            <w:pPr>
              <w:numPr>
                <w:ilvl w:val="0"/>
                <w:numId w:val="31"/>
              </w:numPr>
              <w:spacing w:after="240" w:line="360" w:lineRule="auto"/>
              <w:jc w:val="both"/>
              <w:rPr>
                <w:rFonts w:ascii="Times New Roman" w:eastAsia="Cambria" w:hAnsi="Times New Roman" w:cs="Times New Roman"/>
                <w:b/>
                <w:bCs/>
                <w:color w:val="FFFFFF"/>
                <w:lang w:val="es-ES" w:eastAsia="en-US"/>
              </w:rPr>
            </w:pPr>
            <w:r w:rsidRPr="00CC67C2">
              <w:rPr>
                <w:rFonts w:ascii="Times New Roman" w:eastAsia="Cambria" w:hAnsi="Times New Roman" w:cs="Times New Roman"/>
                <w:b/>
                <w:bCs/>
                <w:color w:val="FFFFFF"/>
                <w:lang w:val="es-ES" w:eastAsia="en-US"/>
              </w:rPr>
              <w:t>NORA INVESTMENTS TRES LLC</w:t>
            </w:r>
          </w:p>
          <w:p w:rsidR="006A4D59" w:rsidRPr="00CC67C2" w:rsidRDefault="00921711" w:rsidP="00CC67C2">
            <w:pPr>
              <w:numPr>
                <w:ilvl w:val="0"/>
                <w:numId w:val="31"/>
              </w:numPr>
              <w:spacing w:after="240" w:line="360" w:lineRule="auto"/>
              <w:jc w:val="both"/>
              <w:rPr>
                <w:rFonts w:ascii="Times New Roman" w:eastAsia="Cambria" w:hAnsi="Times New Roman" w:cs="Times New Roman"/>
                <w:b/>
                <w:bCs/>
                <w:color w:val="FFFFFF"/>
                <w:lang w:val="es-ES" w:eastAsia="en-US"/>
              </w:rPr>
            </w:pPr>
            <w:r w:rsidRPr="00CC67C2">
              <w:rPr>
                <w:rFonts w:ascii="Times New Roman" w:eastAsia="Cambria" w:hAnsi="Times New Roman" w:cs="Times New Roman"/>
                <w:b/>
                <w:bCs/>
                <w:color w:val="FFFFFF"/>
                <w:lang w:val="es-ES" w:eastAsia="en-US"/>
              </w:rPr>
              <w:t>NORA INVESTMENTS CUATRO LLC</w:t>
            </w:r>
          </w:p>
          <w:p w:rsidR="006A4D59" w:rsidRPr="00CC67C2" w:rsidRDefault="00921711" w:rsidP="00CC67C2">
            <w:pPr>
              <w:numPr>
                <w:ilvl w:val="0"/>
                <w:numId w:val="31"/>
              </w:numPr>
              <w:spacing w:after="240" w:line="360" w:lineRule="auto"/>
              <w:jc w:val="both"/>
              <w:rPr>
                <w:rFonts w:ascii="Times New Roman" w:eastAsia="Cambria" w:hAnsi="Times New Roman" w:cs="Times New Roman"/>
                <w:b/>
                <w:bCs/>
                <w:color w:val="FFFFFF"/>
                <w:lang w:val="es-ES" w:eastAsia="en-US"/>
              </w:rPr>
            </w:pPr>
            <w:r w:rsidRPr="00CC67C2">
              <w:rPr>
                <w:rFonts w:ascii="Times New Roman" w:eastAsia="Cambria" w:hAnsi="Times New Roman" w:cs="Times New Roman"/>
                <w:b/>
                <w:bCs/>
                <w:color w:val="FFFFFF"/>
                <w:lang w:val="es-ES" w:eastAsia="en-US"/>
              </w:rPr>
              <w:t>NORA INVESTMENTS CINCO LLC</w:t>
            </w:r>
          </w:p>
          <w:p w:rsidR="006A4D59" w:rsidRPr="00CC67C2" w:rsidRDefault="00921711" w:rsidP="00CC67C2">
            <w:pPr>
              <w:numPr>
                <w:ilvl w:val="0"/>
                <w:numId w:val="31"/>
              </w:numPr>
              <w:spacing w:after="240" w:line="360" w:lineRule="auto"/>
              <w:jc w:val="both"/>
              <w:rPr>
                <w:rFonts w:ascii="Times New Roman" w:eastAsia="Cambria" w:hAnsi="Times New Roman" w:cs="Times New Roman"/>
                <w:b/>
                <w:bCs/>
                <w:color w:val="FFFFFF"/>
                <w:lang w:val="es-ES" w:eastAsia="en-US"/>
              </w:rPr>
            </w:pPr>
            <w:r w:rsidRPr="00CC67C2">
              <w:rPr>
                <w:rFonts w:ascii="Times New Roman" w:eastAsia="Cambria" w:hAnsi="Times New Roman" w:cs="Times New Roman"/>
                <w:b/>
                <w:bCs/>
                <w:color w:val="FFFFFF"/>
                <w:lang w:val="es-ES" w:eastAsia="en-US"/>
              </w:rPr>
              <w:t>NORA INVESTMENTS SIETE LLC</w:t>
            </w:r>
          </w:p>
          <w:p w:rsidR="006A4D59" w:rsidRPr="00CC67C2" w:rsidRDefault="00921711" w:rsidP="00CC67C2">
            <w:pPr>
              <w:numPr>
                <w:ilvl w:val="0"/>
                <w:numId w:val="31"/>
              </w:numPr>
              <w:spacing w:after="240" w:line="360" w:lineRule="auto"/>
              <w:jc w:val="both"/>
              <w:rPr>
                <w:rFonts w:ascii="Times New Roman" w:eastAsia="Cambria" w:hAnsi="Times New Roman" w:cs="Times New Roman"/>
                <w:b/>
                <w:bCs/>
                <w:color w:val="FFFFFF"/>
                <w:lang w:val="es-ES" w:eastAsia="en-US"/>
              </w:rPr>
            </w:pPr>
            <w:r w:rsidRPr="00CC67C2">
              <w:rPr>
                <w:rFonts w:ascii="Times New Roman" w:eastAsia="Cambria" w:hAnsi="Times New Roman" w:cs="Times New Roman"/>
                <w:b/>
                <w:bCs/>
                <w:color w:val="FFFFFF"/>
                <w:lang w:val="es-ES" w:eastAsia="en-US"/>
              </w:rPr>
              <w:t>NORA INVESTMENTS OCHO LLC</w:t>
            </w:r>
          </w:p>
          <w:p w:rsidR="006A4D59" w:rsidRPr="00CC67C2" w:rsidRDefault="00921711" w:rsidP="00CC67C2">
            <w:pPr>
              <w:numPr>
                <w:ilvl w:val="0"/>
                <w:numId w:val="31"/>
              </w:numPr>
              <w:spacing w:after="240" w:line="360" w:lineRule="auto"/>
              <w:jc w:val="both"/>
              <w:rPr>
                <w:rFonts w:ascii="Times New Roman" w:eastAsia="Cambria" w:hAnsi="Times New Roman" w:cs="Times New Roman"/>
                <w:b/>
                <w:bCs/>
                <w:color w:val="FFFFFF"/>
                <w:lang w:val="es-ES" w:eastAsia="en-US"/>
              </w:rPr>
            </w:pPr>
            <w:r w:rsidRPr="00CC67C2">
              <w:rPr>
                <w:rFonts w:ascii="Times New Roman" w:eastAsia="Cambria" w:hAnsi="Times New Roman" w:cs="Times New Roman"/>
                <w:b/>
                <w:bCs/>
                <w:color w:val="FFFFFF"/>
                <w:lang w:val="es-ES" w:eastAsia="en-US"/>
              </w:rPr>
              <w:t>NORA INVESTMENTS NUEVE LLC</w:t>
            </w:r>
          </w:p>
          <w:p w:rsidR="006A4D59" w:rsidRPr="00CC67C2" w:rsidRDefault="00921711" w:rsidP="00CC67C2">
            <w:pPr>
              <w:numPr>
                <w:ilvl w:val="0"/>
                <w:numId w:val="31"/>
              </w:numPr>
              <w:spacing w:after="240" w:line="360" w:lineRule="auto"/>
              <w:jc w:val="both"/>
              <w:rPr>
                <w:rFonts w:ascii="Times New Roman" w:eastAsia="Cambria" w:hAnsi="Times New Roman" w:cs="Times New Roman"/>
                <w:b/>
                <w:bCs/>
                <w:color w:val="FFFFFF"/>
                <w:lang w:val="es-ES" w:eastAsia="en-US"/>
              </w:rPr>
            </w:pPr>
            <w:r w:rsidRPr="00CC67C2">
              <w:rPr>
                <w:rFonts w:ascii="Times New Roman" w:eastAsia="Cambria" w:hAnsi="Times New Roman" w:cs="Times New Roman"/>
                <w:b/>
                <w:bCs/>
                <w:color w:val="FFFFFF"/>
                <w:lang w:val="es-ES" w:eastAsia="en-US"/>
              </w:rPr>
              <w:t>NORA INVESTMENTS DIEZ LLC</w:t>
            </w:r>
          </w:p>
          <w:p w:rsidR="006A4D59" w:rsidRPr="00CC67C2" w:rsidRDefault="00921711" w:rsidP="00CC67C2">
            <w:pPr>
              <w:numPr>
                <w:ilvl w:val="0"/>
                <w:numId w:val="31"/>
              </w:numPr>
              <w:spacing w:after="240" w:line="360" w:lineRule="auto"/>
              <w:jc w:val="both"/>
              <w:rPr>
                <w:rFonts w:ascii="Times New Roman" w:eastAsia="Cambria" w:hAnsi="Times New Roman" w:cs="Times New Roman"/>
                <w:b/>
                <w:bCs/>
                <w:color w:val="FFFFFF"/>
                <w:lang w:val="es-ES" w:eastAsia="en-US"/>
              </w:rPr>
            </w:pPr>
            <w:r w:rsidRPr="00CC67C2">
              <w:rPr>
                <w:rFonts w:ascii="Times New Roman" w:eastAsia="Cambria" w:hAnsi="Times New Roman" w:cs="Times New Roman"/>
                <w:b/>
                <w:bCs/>
                <w:color w:val="FFFFFF"/>
                <w:lang w:val="es-ES" w:eastAsia="en-US"/>
              </w:rPr>
              <w:t>NORA INVESTMENTS DOCE LLC</w:t>
            </w:r>
          </w:p>
          <w:p w:rsidR="006A4D59" w:rsidRPr="00CC67C2" w:rsidRDefault="006A4D59" w:rsidP="00CC67C2">
            <w:pPr>
              <w:spacing w:after="240" w:line="360" w:lineRule="auto"/>
              <w:ind w:left="720"/>
              <w:jc w:val="both"/>
              <w:rPr>
                <w:rFonts w:ascii="Times New Roman" w:eastAsia="Cambria" w:hAnsi="Times New Roman" w:cs="Times New Roman"/>
                <w:b/>
                <w:bCs/>
                <w:color w:val="FFFFFF"/>
                <w:lang w:val="es-ES" w:eastAsia="en-US"/>
              </w:rPr>
            </w:pPr>
          </w:p>
        </w:tc>
      </w:tr>
    </w:tbl>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FUENTE: Pandora Papers, CNE</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Se debe comprender el comportamiento del grupo económico de forma coordinada, sistemática e integrada entre todos y cada uno de sus miembros. La estructura accionaria de la Corporación MULTIBG, es una sola y no se ha alterado por las definiciones legales, incluso por aquellas que se aprobaron en el año 2017, en la consulta popular para impedir que los candidatos a representación popular tengan inversiones y fideicomisos en paraísos fiscales, y que condujo a la aprobación de la “Ley Orgánica para la aplicación de la consulta popular efectuada el 19 de febrero de 2017”.</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De otra parte, el grupo económico Banco de Guayaquil, por su misma actividad económica de intermediación financiera, está vinculado de manera directa a todos los mecanismos de financiarización del sistema financiero internacional y, sobre todo, al denominado sistema de “shadow bank”, banca a la sombra, de paraísos fiscales y fideicomisos perpetuos. A través de su intermediaria en Panamá, que por definición es un paraíso fiscal, el grupo ha desarrollado una amplia red de fideicomisos, banca off shore, y mecanismos de shadow bank, que le permiten integrarse a los mecanismos de acumulación por financiarizarión y que son característicos del sistema capitalista en el siglo XXI. La mayoría de los bancos utilizan los mecanismos de off shore y de shadow bank para sus operaciones internacionales, no sería entonces la excepción que el grupo económico Banco de Guayaquil se haya abstenido de hacerlo. </w:t>
      </w:r>
    </w:p>
    <w:p w:rsidR="006A4D59" w:rsidRPr="0067008A" w:rsidRDefault="00921711" w:rsidP="002E7BE5">
      <w:pPr>
        <w:spacing w:after="240" w:line="360" w:lineRule="auto"/>
        <w:jc w:val="both"/>
        <w:rPr>
          <w:rFonts w:ascii="Times New Roman" w:hAnsi="Times New Roman" w:cs="Times New Roman"/>
        </w:rPr>
      </w:pPr>
      <w:r w:rsidRPr="0067008A">
        <w:rPr>
          <w:rFonts w:ascii="Times New Roman" w:hAnsi="Times New Roman" w:cs="Times New Roman"/>
        </w:rPr>
        <w:t>La filtración de los fideicomisos y estructuras off shore vinculadas al grupo económico Banco de Guayaquil y, en particular, a Guillermo Lasso, ameritan un esfuerzo interinstitucional para que esa información que, por lo pronto tiene un carácter de verosimilitud, se transforme en información legal que permita tomar acciones pertinentes por las autoridades correspondientes.</w:t>
      </w:r>
    </w:p>
    <w:p w:rsidR="006A4D59" w:rsidRPr="0067008A" w:rsidRDefault="00921711" w:rsidP="00677E33">
      <w:pPr>
        <w:spacing w:after="240" w:line="360" w:lineRule="auto"/>
        <w:rPr>
          <w:rFonts w:ascii="Times New Roman" w:hAnsi="Times New Roman" w:cs="Times New Roman"/>
          <w:b/>
        </w:rPr>
      </w:pPr>
      <w:r w:rsidRPr="0067008A">
        <w:rPr>
          <w:rFonts w:ascii="Times New Roman" w:hAnsi="Times New Roman" w:cs="Times New Roman"/>
          <w:b/>
        </w:rPr>
        <w:t>Grupo Económico: Corporación MultiBG 2008-2009</w:t>
      </w:r>
    </w:p>
    <w:p w:rsidR="006A4D59" w:rsidRPr="0067008A" w:rsidRDefault="006A4D59" w:rsidP="00677E33">
      <w:pPr>
        <w:spacing w:after="240" w:line="360" w:lineRule="auto"/>
        <w:rPr>
          <w:rFonts w:ascii="Times New Roman" w:hAnsi="Times New Roman" w:cs="Times New Roman"/>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Uno de los temas recurrentes a propósito de la presencia de entidades off shore en paraísos fiscales y vinculadas con el grupo económico del Banco de Guayaquil, es que todas ellas fueron disueltas antes de 2017, el año en el que entró en vigencia la Ley Orgánica para la aplicación de la Consulta Popular efectuada el 19 de febrero de 2017, y, al mismo tiempo, que Guillermo Lasso y su grupo económico, se caracterizan por la gran cantidad de impuestos que han pagado en estos últimos años. En ese sentido, y por evidentes razones políticas, se ha exagerado la responsabilidad tributaria del grupo económico Banco de Guayaquil.</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Sin embargo, es necesaria una aproximación más detallada sobre la composición de los ingresos del grupo y sus responsabilidades tributarias, y lo primero que llama la atención es que el Servicio de Rentas Internas, en el año 2008 no posee toda la información referente al grupo y a la Corporación MULTIBG S.A. En efecto, si se revisa la información que el grupo ha proporcionado al SRI se puede constatar que no registra a ninguno de los fideicomisos que posee, ni a sus inversiones en el exterior, y que solo pocos de ellos pagan impuesto a la renta, conforme el siguiente cuadro:</w:t>
      </w:r>
    </w:p>
    <w:p w:rsidR="006A4D59" w:rsidRPr="0067008A" w:rsidRDefault="00921711" w:rsidP="00677E33">
      <w:pPr>
        <w:pStyle w:val="Descripcin"/>
        <w:spacing w:after="240" w:line="360" w:lineRule="auto"/>
        <w:rPr>
          <w:rFonts w:ascii="Times New Roman" w:hAnsi="Times New Roman" w:cs="Times New Roman"/>
          <w:sz w:val="22"/>
          <w:szCs w:val="22"/>
        </w:rPr>
      </w:pPr>
      <w:r w:rsidRPr="0067008A">
        <w:rPr>
          <w:rFonts w:ascii="Times New Roman" w:hAnsi="Times New Roman" w:cs="Times New Roman"/>
          <w:sz w:val="22"/>
          <w:szCs w:val="22"/>
        </w:rPr>
        <w:t xml:space="preserve">Tabla </w:t>
      </w:r>
      <w:r w:rsidRPr="0067008A">
        <w:rPr>
          <w:rFonts w:ascii="Times New Roman" w:hAnsi="Times New Roman" w:cs="Times New Roman"/>
          <w:sz w:val="22"/>
          <w:szCs w:val="22"/>
        </w:rPr>
        <w:fldChar w:fldCharType="begin"/>
      </w:r>
      <w:r w:rsidRPr="0067008A">
        <w:rPr>
          <w:rFonts w:ascii="Times New Roman" w:hAnsi="Times New Roman" w:cs="Times New Roman"/>
          <w:sz w:val="22"/>
          <w:szCs w:val="22"/>
        </w:rPr>
        <w:instrText>SEQ Tabla \* ARABIC</w:instrText>
      </w:r>
      <w:r w:rsidRPr="0067008A">
        <w:rPr>
          <w:rFonts w:ascii="Times New Roman" w:hAnsi="Times New Roman" w:cs="Times New Roman"/>
          <w:sz w:val="22"/>
          <w:szCs w:val="22"/>
        </w:rPr>
        <w:fldChar w:fldCharType="separate"/>
      </w:r>
      <w:r w:rsidR="0029216E" w:rsidRPr="0067008A">
        <w:rPr>
          <w:rFonts w:ascii="Times New Roman" w:hAnsi="Times New Roman" w:cs="Times New Roman"/>
          <w:noProof/>
          <w:sz w:val="22"/>
          <w:szCs w:val="22"/>
        </w:rPr>
        <w:t>3</w:t>
      </w:r>
      <w:r w:rsidRPr="0067008A">
        <w:rPr>
          <w:rFonts w:ascii="Times New Roman" w:hAnsi="Times New Roman" w:cs="Times New Roman"/>
          <w:sz w:val="22"/>
          <w:szCs w:val="22"/>
        </w:rPr>
        <w:fldChar w:fldCharType="end"/>
      </w:r>
      <w:r w:rsidRPr="0067008A">
        <w:rPr>
          <w:rFonts w:ascii="Times New Roman" w:hAnsi="Times New Roman" w:cs="Times New Roman"/>
          <w:sz w:val="22"/>
          <w:szCs w:val="22"/>
        </w:rPr>
        <w:t xml:space="preserve"> Ingresos e impuestos del grupo económico Banco de Guayquil, años 2008 y 2009 en USD</w:t>
      </w:r>
    </w:p>
    <w:tbl>
      <w:tblPr>
        <w:tblW w:w="8949" w:type="dxa"/>
        <w:tblInd w:w="70" w:type="dxa"/>
        <w:tblBorders>
          <w:top w:val="single" w:sz="8" w:space="0" w:color="000000"/>
          <w:left w:val="single" w:sz="4" w:space="0" w:color="000000"/>
          <w:bottom w:val="single" w:sz="8" w:space="0" w:color="000000"/>
          <w:right w:val="single" w:sz="4" w:space="0" w:color="000000"/>
          <w:insideH w:val="single" w:sz="8" w:space="0" w:color="000000"/>
          <w:insideV w:val="single" w:sz="4" w:space="0" w:color="000000"/>
        </w:tblBorders>
        <w:tblCellMar>
          <w:left w:w="65" w:type="dxa"/>
          <w:right w:w="70" w:type="dxa"/>
        </w:tblCellMar>
        <w:tblLook w:val="04A0" w:firstRow="1" w:lastRow="0" w:firstColumn="1" w:lastColumn="0" w:noHBand="0" w:noVBand="1"/>
      </w:tblPr>
      <w:tblGrid>
        <w:gridCol w:w="2979"/>
        <w:gridCol w:w="1470"/>
        <w:gridCol w:w="1515"/>
        <w:gridCol w:w="1470"/>
        <w:gridCol w:w="1515"/>
      </w:tblGrid>
      <w:tr w:rsidR="006A4D59" w:rsidRPr="0067008A">
        <w:trPr>
          <w:trHeight w:val="580"/>
        </w:trPr>
        <w:tc>
          <w:tcPr>
            <w:tcW w:w="2979" w:type="dxa"/>
            <w:tcBorders>
              <w:top w:val="single" w:sz="8" w:space="0" w:color="000000"/>
              <w:left w:val="single" w:sz="4" w:space="0" w:color="000000"/>
              <w:bottom w:val="single" w:sz="8"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b/>
                <w:bCs/>
              </w:rPr>
            </w:pPr>
            <w:r w:rsidRPr="0067008A">
              <w:rPr>
                <w:rFonts w:ascii="Times New Roman" w:eastAsia="Times New Roman" w:hAnsi="Times New Roman" w:cs="Times New Roman"/>
                <w:b/>
                <w:bCs/>
              </w:rPr>
              <w:t>RAZÓN SOCIAL</w:t>
            </w:r>
          </w:p>
        </w:tc>
        <w:tc>
          <w:tcPr>
            <w:tcW w:w="1470" w:type="dxa"/>
            <w:tcBorders>
              <w:top w:val="single" w:sz="8" w:space="0" w:color="000000"/>
              <w:left w:val="single" w:sz="8" w:space="0" w:color="000000"/>
              <w:bottom w:val="single" w:sz="8"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b/>
                <w:bCs/>
              </w:rPr>
            </w:pPr>
            <w:r w:rsidRPr="0067008A">
              <w:rPr>
                <w:rFonts w:ascii="Times New Roman" w:eastAsia="Times New Roman" w:hAnsi="Times New Roman" w:cs="Times New Roman"/>
                <w:b/>
                <w:bCs/>
              </w:rPr>
              <w:t>Total Impuesto Causado</w:t>
            </w:r>
          </w:p>
          <w:p w:rsidR="006A4D59" w:rsidRPr="0067008A" w:rsidRDefault="00921711" w:rsidP="00677E33">
            <w:pPr>
              <w:spacing w:after="240" w:line="360" w:lineRule="auto"/>
              <w:jc w:val="center"/>
              <w:rPr>
                <w:rFonts w:ascii="Times New Roman" w:eastAsia="Times New Roman" w:hAnsi="Times New Roman" w:cs="Times New Roman"/>
                <w:b/>
                <w:bCs/>
              </w:rPr>
            </w:pPr>
            <w:r w:rsidRPr="0067008A">
              <w:rPr>
                <w:rFonts w:ascii="Times New Roman" w:eastAsia="Times New Roman" w:hAnsi="Times New Roman" w:cs="Times New Roman"/>
                <w:b/>
                <w:bCs/>
              </w:rPr>
              <w:t>2008</w:t>
            </w:r>
          </w:p>
        </w:tc>
        <w:tc>
          <w:tcPr>
            <w:tcW w:w="1515" w:type="dxa"/>
            <w:tcBorders>
              <w:top w:val="single" w:sz="8" w:space="0" w:color="000000"/>
              <w:bottom w:val="single" w:sz="8"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b/>
                <w:bCs/>
              </w:rPr>
            </w:pPr>
            <w:r w:rsidRPr="0067008A">
              <w:rPr>
                <w:rFonts w:ascii="Times New Roman" w:eastAsia="Times New Roman" w:hAnsi="Times New Roman" w:cs="Times New Roman"/>
                <w:b/>
                <w:bCs/>
              </w:rPr>
              <w:t>Total Ingresos</w:t>
            </w:r>
          </w:p>
          <w:p w:rsidR="006A4D59" w:rsidRPr="0067008A" w:rsidRDefault="00921711" w:rsidP="00677E33">
            <w:pPr>
              <w:spacing w:after="240" w:line="360" w:lineRule="auto"/>
              <w:jc w:val="center"/>
              <w:rPr>
                <w:rFonts w:ascii="Times New Roman" w:eastAsia="Times New Roman" w:hAnsi="Times New Roman" w:cs="Times New Roman"/>
                <w:b/>
                <w:bCs/>
              </w:rPr>
            </w:pPr>
            <w:r w:rsidRPr="0067008A">
              <w:rPr>
                <w:rFonts w:ascii="Times New Roman" w:eastAsia="Times New Roman" w:hAnsi="Times New Roman" w:cs="Times New Roman"/>
                <w:b/>
                <w:bCs/>
              </w:rPr>
              <w:t>2008</w:t>
            </w:r>
          </w:p>
        </w:tc>
        <w:tc>
          <w:tcPr>
            <w:tcW w:w="1470" w:type="dxa"/>
            <w:tcBorders>
              <w:top w:val="single" w:sz="8" w:space="0" w:color="000000"/>
              <w:bottom w:val="single" w:sz="8"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b/>
                <w:bCs/>
              </w:rPr>
            </w:pPr>
            <w:r w:rsidRPr="0067008A">
              <w:rPr>
                <w:rFonts w:ascii="Times New Roman" w:eastAsia="Times New Roman" w:hAnsi="Times New Roman" w:cs="Times New Roman"/>
                <w:b/>
                <w:bCs/>
              </w:rPr>
              <w:t>Total Impuesto Causado</w:t>
            </w:r>
          </w:p>
          <w:p w:rsidR="006A4D59" w:rsidRPr="0067008A" w:rsidRDefault="00921711" w:rsidP="00677E33">
            <w:pPr>
              <w:spacing w:after="240" w:line="360" w:lineRule="auto"/>
              <w:jc w:val="center"/>
              <w:rPr>
                <w:rFonts w:ascii="Times New Roman" w:eastAsia="Times New Roman" w:hAnsi="Times New Roman" w:cs="Times New Roman"/>
                <w:b/>
                <w:bCs/>
              </w:rPr>
            </w:pPr>
            <w:r w:rsidRPr="0067008A">
              <w:rPr>
                <w:rFonts w:ascii="Times New Roman" w:eastAsia="Times New Roman" w:hAnsi="Times New Roman" w:cs="Times New Roman"/>
                <w:b/>
                <w:bCs/>
              </w:rPr>
              <w:t>2009</w:t>
            </w:r>
          </w:p>
        </w:tc>
        <w:tc>
          <w:tcPr>
            <w:tcW w:w="1515" w:type="dxa"/>
            <w:tcBorders>
              <w:top w:val="single" w:sz="8" w:space="0" w:color="000000"/>
              <w:bottom w:val="single" w:sz="8"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b/>
                <w:bCs/>
              </w:rPr>
            </w:pPr>
            <w:r w:rsidRPr="0067008A">
              <w:rPr>
                <w:rFonts w:ascii="Times New Roman" w:eastAsia="Times New Roman" w:hAnsi="Times New Roman" w:cs="Times New Roman"/>
                <w:b/>
                <w:bCs/>
              </w:rPr>
              <w:t>Total Ingresos</w:t>
            </w:r>
          </w:p>
          <w:p w:rsidR="006A4D59" w:rsidRPr="0067008A" w:rsidRDefault="00921711" w:rsidP="00677E33">
            <w:pPr>
              <w:spacing w:after="240" w:line="360" w:lineRule="auto"/>
              <w:jc w:val="center"/>
              <w:rPr>
                <w:rFonts w:ascii="Times New Roman" w:eastAsia="Times New Roman" w:hAnsi="Times New Roman" w:cs="Times New Roman"/>
                <w:b/>
                <w:bCs/>
              </w:rPr>
            </w:pPr>
            <w:r w:rsidRPr="0067008A">
              <w:rPr>
                <w:rFonts w:ascii="Times New Roman" w:eastAsia="Times New Roman" w:hAnsi="Times New Roman" w:cs="Times New Roman"/>
                <w:b/>
                <w:bCs/>
              </w:rPr>
              <w:t>2009</w:t>
            </w:r>
          </w:p>
        </w:tc>
      </w:tr>
      <w:tr w:rsidR="006A4D59" w:rsidRPr="0067008A">
        <w:trPr>
          <w:trHeight w:val="280"/>
        </w:trPr>
        <w:tc>
          <w:tcPr>
            <w:tcW w:w="29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BANCO DE GUAYAQUIL S.A.</w:t>
            </w:r>
          </w:p>
        </w:tc>
        <w:tc>
          <w:tcPr>
            <w:tcW w:w="1470" w:type="dxa"/>
            <w:tcBorders>
              <w:top w:val="single" w:sz="4" w:space="0" w:color="000000"/>
              <w:left w:val="single" w:sz="8"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5.487.237,86</w:t>
            </w:r>
          </w:p>
        </w:tc>
        <w:tc>
          <w:tcPr>
            <w:tcW w:w="1515" w:type="dxa"/>
            <w:tcBorders>
              <w:top w:val="single" w:sz="4"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272.170.007,85</w:t>
            </w:r>
          </w:p>
        </w:tc>
        <w:tc>
          <w:tcPr>
            <w:tcW w:w="1470" w:type="dxa"/>
            <w:tcBorders>
              <w:top w:val="single" w:sz="4"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6.882.380,70</w:t>
            </w:r>
          </w:p>
        </w:tc>
        <w:tc>
          <w:tcPr>
            <w:tcW w:w="1515" w:type="dxa"/>
            <w:tcBorders>
              <w:top w:val="single" w:sz="4"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264.123.386,64</w:t>
            </w:r>
          </w:p>
        </w:tc>
      </w:tr>
      <w:tr w:rsidR="006A4D59" w:rsidRPr="0067008A">
        <w:trPr>
          <w:trHeight w:val="560"/>
        </w:trPr>
        <w:tc>
          <w:tcPr>
            <w:tcW w:w="2979" w:type="dxa"/>
            <w:tcBorders>
              <w:left w:val="single" w:sz="4"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RIO GUAYAS COMPAÑIA DE SEGUROS Y REASEGUROS S.A.</w:t>
            </w:r>
          </w:p>
        </w:tc>
        <w:tc>
          <w:tcPr>
            <w:tcW w:w="1470" w:type="dxa"/>
            <w:tcBorders>
              <w:left w:val="single" w:sz="8"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179.356,18</w:t>
            </w:r>
          </w:p>
        </w:tc>
        <w:tc>
          <w:tcPr>
            <w:tcW w:w="1515" w:type="dxa"/>
            <w:tcBorders>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38.025.811,51</w:t>
            </w:r>
          </w:p>
        </w:tc>
        <w:tc>
          <w:tcPr>
            <w:tcW w:w="1470" w:type="dxa"/>
            <w:tcBorders>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233.547,28</w:t>
            </w:r>
          </w:p>
        </w:tc>
        <w:tc>
          <w:tcPr>
            <w:tcW w:w="1515" w:type="dxa"/>
            <w:tcBorders>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44.374.221,48</w:t>
            </w:r>
          </w:p>
        </w:tc>
      </w:tr>
      <w:tr w:rsidR="006A4D59" w:rsidRPr="0067008A">
        <w:trPr>
          <w:trHeight w:val="280"/>
        </w:trPr>
        <w:tc>
          <w:tcPr>
            <w:tcW w:w="2979" w:type="dxa"/>
            <w:tcBorders>
              <w:left w:val="single" w:sz="4"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CORPORACION MULTIBG S.A.</w:t>
            </w:r>
          </w:p>
        </w:tc>
        <w:tc>
          <w:tcPr>
            <w:tcW w:w="1470" w:type="dxa"/>
            <w:tcBorders>
              <w:left w:val="single" w:sz="8"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1.235.215,77</w:t>
            </w:r>
          </w:p>
        </w:tc>
        <w:tc>
          <w:tcPr>
            <w:tcW w:w="1515" w:type="dxa"/>
            <w:tcBorders>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34.941.243,52</w:t>
            </w:r>
          </w:p>
        </w:tc>
        <w:tc>
          <w:tcPr>
            <w:tcW w:w="1470" w:type="dxa"/>
            <w:tcBorders>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0,00</w:t>
            </w:r>
          </w:p>
        </w:tc>
        <w:tc>
          <w:tcPr>
            <w:tcW w:w="1515" w:type="dxa"/>
            <w:tcBorders>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29.377.733,30</w:t>
            </w:r>
          </w:p>
        </w:tc>
      </w:tr>
      <w:tr w:rsidR="006A4D59" w:rsidRPr="0067008A">
        <w:trPr>
          <w:trHeight w:val="560"/>
        </w:trPr>
        <w:tc>
          <w:tcPr>
            <w:tcW w:w="2979" w:type="dxa"/>
            <w:tcBorders>
              <w:left w:val="single" w:sz="4"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ADMINISTRADORA DE FONDOS DE INVERSION Y FIDEICOMISOS BG S.A.</w:t>
            </w:r>
          </w:p>
        </w:tc>
        <w:tc>
          <w:tcPr>
            <w:tcW w:w="1470" w:type="dxa"/>
            <w:tcBorders>
              <w:left w:val="single" w:sz="8"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78.881,03</w:t>
            </w:r>
          </w:p>
        </w:tc>
        <w:tc>
          <w:tcPr>
            <w:tcW w:w="1515" w:type="dxa"/>
            <w:tcBorders>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3.616.823,01</w:t>
            </w:r>
          </w:p>
        </w:tc>
        <w:tc>
          <w:tcPr>
            <w:tcW w:w="1470" w:type="dxa"/>
            <w:tcBorders>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71.693,57</w:t>
            </w:r>
          </w:p>
        </w:tc>
        <w:tc>
          <w:tcPr>
            <w:tcW w:w="1515" w:type="dxa"/>
            <w:tcBorders>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4.158.802,06</w:t>
            </w:r>
          </w:p>
        </w:tc>
      </w:tr>
      <w:tr w:rsidR="006A4D59" w:rsidRPr="0067008A">
        <w:trPr>
          <w:trHeight w:val="280"/>
        </w:trPr>
        <w:tc>
          <w:tcPr>
            <w:tcW w:w="2979" w:type="dxa"/>
            <w:tcBorders>
              <w:left w:val="single" w:sz="4"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CASA DE VALORES MULTIVALORES B.G. S.A.</w:t>
            </w:r>
          </w:p>
        </w:tc>
        <w:tc>
          <w:tcPr>
            <w:tcW w:w="1470" w:type="dxa"/>
            <w:tcBorders>
              <w:left w:val="single" w:sz="8"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36.941,31</w:t>
            </w:r>
          </w:p>
        </w:tc>
        <w:tc>
          <w:tcPr>
            <w:tcW w:w="1515" w:type="dxa"/>
            <w:tcBorders>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1.601.868,13</w:t>
            </w:r>
          </w:p>
        </w:tc>
        <w:tc>
          <w:tcPr>
            <w:tcW w:w="1470" w:type="dxa"/>
            <w:tcBorders>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35.993,53</w:t>
            </w:r>
          </w:p>
        </w:tc>
        <w:tc>
          <w:tcPr>
            <w:tcW w:w="1515" w:type="dxa"/>
            <w:tcBorders>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1.295.089,79</w:t>
            </w:r>
          </w:p>
        </w:tc>
      </w:tr>
      <w:tr w:rsidR="006A4D59" w:rsidRPr="0067008A">
        <w:trPr>
          <w:trHeight w:val="560"/>
        </w:trPr>
        <w:tc>
          <w:tcPr>
            <w:tcW w:w="2979" w:type="dxa"/>
            <w:tcBorders>
              <w:left w:val="single" w:sz="4"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COLARI S.A. AGENCIA ASESORA PRODUCTORA DE SEGUROS</w:t>
            </w:r>
          </w:p>
        </w:tc>
        <w:tc>
          <w:tcPr>
            <w:tcW w:w="1470" w:type="dxa"/>
            <w:tcBorders>
              <w:left w:val="single" w:sz="8"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11.388,37</w:t>
            </w:r>
          </w:p>
        </w:tc>
        <w:tc>
          <w:tcPr>
            <w:tcW w:w="1515" w:type="dxa"/>
            <w:tcBorders>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475.534,14</w:t>
            </w:r>
          </w:p>
        </w:tc>
        <w:tc>
          <w:tcPr>
            <w:tcW w:w="1470" w:type="dxa"/>
            <w:tcBorders>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16.891,35</w:t>
            </w:r>
          </w:p>
        </w:tc>
        <w:tc>
          <w:tcPr>
            <w:tcW w:w="1515" w:type="dxa"/>
            <w:tcBorders>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879.476,70</w:t>
            </w:r>
          </w:p>
        </w:tc>
      </w:tr>
      <w:tr w:rsidR="006A4D59" w:rsidRPr="0067008A">
        <w:trPr>
          <w:trHeight w:val="280"/>
        </w:trPr>
        <w:tc>
          <w:tcPr>
            <w:tcW w:w="2979" w:type="dxa"/>
            <w:tcBorders>
              <w:left w:val="single" w:sz="4"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MULTIBIENES BIENES RAICES BIENESBG S.A.</w:t>
            </w:r>
          </w:p>
        </w:tc>
        <w:tc>
          <w:tcPr>
            <w:tcW w:w="1470" w:type="dxa"/>
            <w:tcBorders>
              <w:left w:val="single" w:sz="8"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0,00</w:t>
            </w:r>
          </w:p>
        </w:tc>
        <w:tc>
          <w:tcPr>
            <w:tcW w:w="1515" w:type="dxa"/>
            <w:tcBorders>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1.464.690,06</w:t>
            </w:r>
          </w:p>
        </w:tc>
        <w:tc>
          <w:tcPr>
            <w:tcW w:w="1470" w:type="dxa"/>
            <w:tcBorders>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0,00</w:t>
            </w:r>
          </w:p>
        </w:tc>
        <w:tc>
          <w:tcPr>
            <w:tcW w:w="1515" w:type="dxa"/>
            <w:tcBorders>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17.087,18</w:t>
            </w:r>
          </w:p>
        </w:tc>
      </w:tr>
      <w:tr w:rsidR="006A4D59" w:rsidRPr="0067008A">
        <w:trPr>
          <w:trHeight w:val="280"/>
        </w:trPr>
        <w:tc>
          <w:tcPr>
            <w:tcW w:w="2979" w:type="dxa"/>
            <w:tcBorders>
              <w:left w:val="single" w:sz="4"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CIA ANTELISSA S. A.</w:t>
            </w:r>
          </w:p>
        </w:tc>
        <w:tc>
          <w:tcPr>
            <w:tcW w:w="1470" w:type="dxa"/>
            <w:tcBorders>
              <w:left w:val="single" w:sz="8"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0,00</w:t>
            </w:r>
          </w:p>
        </w:tc>
        <w:tc>
          <w:tcPr>
            <w:tcW w:w="1515" w:type="dxa"/>
            <w:tcBorders>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0,00</w:t>
            </w:r>
          </w:p>
        </w:tc>
        <w:tc>
          <w:tcPr>
            <w:tcW w:w="1470" w:type="dxa"/>
            <w:tcBorders>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0,00</w:t>
            </w:r>
          </w:p>
        </w:tc>
        <w:tc>
          <w:tcPr>
            <w:tcW w:w="1515" w:type="dxa"/>
            <w:tcBorders>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0,00</w:t>
            </w:r>
          </w:p>
        </w:tc>
      </w:tr>
      <w:tr w:rsidR="006A4D59" w:rsidRPr="0067008A">
        <w:trPr>
          <w:trHeight w:val="280"/>
        </w:trPr>
        <w:tc>
          <w:tcPr>
            <w:tcW w:w="2979" w:type="dxa"/>
            <w:tcBorders>
              <w:left w:val="single" w:sz="4"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INMOBILIARIA SOLCORP S.A.</w:t>
            </w:r>
          </w:p>
        </w:tc>
        <w:tc>
          <w:tcPr>
            <w:tcW w:w="1470" w:type="dxa"/>
            <w:tcBorders>
              <w:left w:val="single" w:sz="8"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 </w:t>
            </w:r>
          </w:p>
        </w:tc>
        <w:tc>
          <w:tcPr>
            <w:tcW w:w="1515" w:type="dxa"/>
            <w:tcBorders>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 </w:t>
            </w:r>
          </w:p>
        </w:tc>
        <w:tc>
          <w:tcPr>
            <w:tcW w:w="1470" w:type="dxa"/>
            <w:tcBorders>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 </w:t>
            </w:r>
          </w:p>
        </w:tc>
        <w:tc>
          <w:tcPr>
            <w:tcW w:w="1515" w:type="dxa"/>
            <w:tcBorders>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 </w:t>
            </w:r>
          </w:p>
        </w:tc>
      </w:tr>
      <w:tr w:rsidR="006A4D59" w:rsidRPr="0067008A">
        <w:trPr>
          <w:trHeight w:val="280"/>
        </w:trPr>
        <w:tc>
          <w:tcPr>
            <w:tcW w:w="2979" w:type="dxa"/>
            <w:tcBorders>
              <w:left w:val="single" w:sz="4"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JOPOGRAN S.A.</w:t>
            </w:r>
          </w:p>
        </w:tc>
        <w:tc>
          <w:tcPr>
            <w:tcW w:w="1470" w:type="dxa"/>
            <w:tcBorders>
              <w:left w:val="single" w:sz="8"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 </w:t>
            </w:r>
          </w:p>
        </w:tc>
        <w:tc>
          <w:tcPr>
            <w:tcW w:w="1515" w:type="dxa"/>
            <w:tcBorders>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 </w:t>
            </w:r>
          </w:p>
        </w:tc>
        <w:tc>
          <w:tcPr>
            <w:tcW w:w="1470" w:type="dxa"/>
            <w:tcBorders>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 </w:t>
            </w:r>
          </w:p>
        </w:tc>
        <w:tc>
          <w:tcPr>
            <w:tcW w:w="1515" w:type="dxa"/>
            <w:tcBorders>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 </w:t>
            </w:r>
          </w:p>
        </w:tc>
      </w:tr>
      <w:tr w:rsidR="006A4D59" w:rsidRPr="0067008A">
        <w:trPr>
          <w:trHeight w:val="280"/>
        </w:trPr>
        <w:tc>
          <w:tcPr>
            <w:tcW w:w="2979" w:type="dxa"/>
            <w:tcBorders>
              <w:left w:val="single" w:sz="4"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JUCARZU S.A.</w:t>
            </w:r>
          </w:p>
        </w:tc>
        <w:tc>
          <w:tcPr>
            <w:tcW w:w="1470" w:type="dxa"/>
            <w:tcBorders>
              <w:left w:val="single" w:sz="8"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 </w:t>
            </w:r>
          </w:p>
        </w:tc>
        <w:tc>
          <w:tcPr>
            <w:tcW w:w="1515" w:type="dxa"/>
            <w:tcBorders>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 </w:t>
            </w:r>
          </w:p>
        </w:tc>
        <w:tc>
          <w:tcPr>
            <w:tcW w:w="1470" w:type="dxa"/>
            <w:tcBorders>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 </w:t>
            </w:r>
          </w:p>
        </w:tc>
        <w:tc>
          <w:tcPr>
            <w:tcW w:w="1515" w:type="dxa"/>
            <w:tcBorders>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 </w:t>
            </w:r>
          </w:p>
        </w:tc>
      </w:tr>
      <w:tr w:rsidR="006A4D59" w:rsidRPr="0067008A">
        <w:trPr>
          <w:trHeight w:val="280"/>
        </w:trPr>
        <w:tc>
          <w:tcPr>
            <w:tcW w:w="2979" w:type="dxa"/>
            <w:tcBorders>
              <w:left w:val="single" w:sz="4"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LIROCAM S.A.</w:t>
            </w:r>
          </w:p>
        </w:tc>
        <w:tc>
          <w:tcPr>
            <w:tcW w:w="1470" w:type="dxa"/>
            <w:tcBorders>
              <w:left w:val="single" w:sz="8"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 </w:t>
            </w:r>
          </w:p>
        </w:tc>
        <w:tc>
          <w:tcPr>
            <w:tcW w:w="1515" w:type="dxa"/>
            <w:tcBorders>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 </w:t>
            </w:r>
          </w:p>
        </w:tc>
        <w:tc>
          <w:tcPr>
            <w:tcW w:w="1470" w:type="dxa"/>
            <w:tcBorders>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 </w:t>
            </w:r>
          </w:p>
        </w:tc>
        <w:tc>
          <w:tcPr>
            <w:tcW w:w="1515" w:type="dxa"/>
            <w:tcBorders>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 </w:t>
            </w:r>
          </w:p>
        </w:tc>
      </w:tr>
      <w:tr w:rsidR="006A4D59" w:rsidRPr="0067008A">
        <w:trPr>
          <w:trHeight w:val="280"/>
        </w:trPr>
        <w:tc>
          <w:tcPr>
            <w:tcW w:w="2979" w:type="dxa"/>
            <w:tcBorders>
              <w:left w:val="single" w:sz="4"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TORONTOCORP S.A.</w:t>
            </w:r>
          </w:p>
        </w:tc>
        <w:tc>
          <w:tcPr>
            <w:tcW w:w="1470" w:type="dxa"/>
            <w:tcBorders>
              <w:left w:val="single" w:sz="8"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 </w:t>
            </w:r>
          </w:p>
        </w:tc>
        <w:tc>
          <w:tcPr>
            <w:tcW w:w="1515" w:type="dxa"/>
            <w:tcBorders>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 </w:t>
            </w:r>
          </w:p>
        </w:tc>
        <w:tc>
          <w:tcPr>
            <w:tcW w:w="1470" w:type="dxa"/>
            <w:tcBorders>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 </w:t>
            </w:r>
          </w:p>
        </w:tc>
        <w:tc>
          <w:tcPr>
            <w:tcW w:w="1515" w:type="dxa"/>
            <w:tcBorders>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 </w:t>
            </w:r>
          </w:p>
        </w:tc>
      </w:tr>
      <w:tr w:rsidR="006A4D59" w:rsidRPr="0067008A">
        <w:trPr>
          <w:trHeight w:val="300"/>
        </w:trPr>
        <w:tc>
          <w:tcPr>
            <w:tcW w:w="2979" w:type="dxa"/>
            <w:tcBorders>
              <w:left w:val="single" w:sz="4"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UNITEC CIA LTDA DE COMERCIO E INDUSTRIA</w:t>
            </w:r>
          </w:p>
        </w:tc>
        <w:tc>
          <w:tcPr>
            <w:tcW w:w="1470" w:type="dxa"/>
            <w:tcBorders>
              <w:left w:val="single" w:sz="8"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 </w:t>
            </w:r>
          </w:p>
        </w:tc>
        <w:tc>
          <w:tcPr>
            <w:tcW w:w="1515" w:type="dxa"/>
            <w:tcBorders>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 </w:t>
            </w:r>
          </w:p>
        </w:tc>
        <w:tc>
          <w:tcPr>
            <w:tcW w:w="1470" w:type="dxa"/>
            <w:tcBorders>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 </w:t>
            </w:r>
          </w:p>
        </w:tc>
        <w:tc>
          <w:tcPr>
            <w:tcW w:w="1515" w:type="dxa"/>
            <w:tcBorders>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 </w:t>
            </w:r>
          </w:p>
        </w:tc>
      </w:tr>
      <w:tr w:rsidR="006A4D59" w:rsidRPr="0067008A">
        <w:trPr>
          <w:trHeight w:val="300"/>
        </w:trPr>
        <w:tc>
          <w:tcPr>
            <w:tcW w:w="2979" w:type="dxa"/>
            <w:tcBorders>
              <w:top w:val="single" w:sz="8" w:space="0" w:color="000000"/>
              <w:left w:val="single" w:sz="4" w:space="0" w:color="000000"/>
              <w:bottom w:val="single" w:sz="8"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000000"/>
              </w:rPr>
            </w:pPr>
            <w:r w:rsidRPr="0067008A">
              <w:rPr>
                <w:rFonts w:ascii="Times New Roman" w:eastAsia="Times New Roman" w:hAnsi="Times New Roman" w:cs="Times New Roman"/>
                <w:b/>
                <w:bCs/>
                <w:color w:val="000000"/>
              </w:rPr>
              <w:t>14</w:t>
            </w:r>
          </w:p>
        </w:tc>
        <w:tc>
          <w:tcPr>
            <w:tcW w:w="1470" w:type="dxa"/>
            <w:tcBorders>
              <w:top w:val="single" w:sz="8" w:space="0" w:color="000000"/>
              <w:left w:val="single" w:sz="8" w:space="0" w:color="000000"/>
              <w:bottom w:val="single" w:sz="8"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000000"/>
              </w:rPr>
            </w:pPr>
            <w:r w:rsidRPr="0067008A">
              <w:rPr>
                <w:rFonts w:ascii="Times New Roman" w:eastAsia="Times New Roman" w:hAnsi="Times New Roman" w:cs="Times New Roman"/>
                <w:b/>
                <w:bCs/>
                <w:color w:val="000000"/>
              </w:rPr>
              <w:t>7.029.020,52</w:t>
            </w:r>
          </w:p>
        </w:tc>
        <w:tc>
          <w:tcPr>
            <w:tcW w:w="1515" w:type="dxa"/>
            <w:tcBorders>
              <w:top w:val="single" w:sz="8" w:space="0" w:color="000000"/>
              <w:bottom w:val="single" w:sz="8"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000000"/>
              </w:rPr>
            </w:pPr>
            <w:r w:rsidRPr="0067008A">
              <w:rPr>
                <w:rFonts w:ascii="Times New Roman" w:eastAsia="Times New Roman" w:hAnsi="Times New Roman" w:cs="Times New Roman"/>
                <w:b/>
                <w:bCs/>
                <w:color w:val="000000"/>
              </w:rPr>
              <w:t>352.295.978,22</w:t>
            </w:r>
          </w:p>
        </w:tc>
        <w:tc>
          <w:tcPr>
            <w:tcW w:w="1470" w:type="dxa"/>
            <w:tcBorders>
              <w:top w:val="single" w:sz="8" w:space="0" w:color="000000"/>
              <w:bottom w:val="single" w:sz="8"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000000"/>
              </w:rPr>
            </w:pPr>
            <w:r w:rsidRPr="0067008A">
              <w:rPr>
                <w:rFonts w:ascii="Times New Roman" w:eastAsia="Times New Roman" w:hAnsi="Times New Roman" w:cs="Times New Roman"/>
                <w:b/>
                <w:bCs/>
                <w:color w:val="000000"/>
              </w:rPr>
              <w:t>7.240.506,43</w:t>
            </w:r>
          </w:p>
        </w:tc>
        <w:tc>
          <w:tcPr>
            <w:tcW w:w="1515" w:type="dxa"/>
            <w:tcBorders>
              <w:top w:val="single" w:sz="8" w:space="0" w:color="000000"/>
              <w:bottom w:val="single" w:sz="8"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000000"/>
              </w:rPr>
            </w:pPr>
            <w:r w:rsidRPr="0067008A">
              <w:rPr>
                <w:rFonts w:ascii="Times New Roman" w:eastAsia="Times New Roman" w:hAnsi="Times New Roman" w:cs="Times New Roman"/>
                <w:b/>
                <w:bCs/>
                <w:color w:val="000000"/>
              </w:rPr>
              <w:t>344.225.797,15</w:t>
            </w:r>
          </w:p>
        </w:tc>
      </w:tr>
    </w:tbl>
    <w:p w:rsidR="006A4D59" w:rsidRPr="0067008A" w:rsidRDefault="00921711" w:rsidP="00677E33">
      <w:pPr>
        <w:spacing w:after="240" w:line="360" w:lineRule="auto"/>
        <w:rPr>
          <w:rFonts w:ascii="Times New Roman" w:hAnsi="Times New Roman" w:cs="Times New Roman"/>
        </w:rPr>
      </w:pPr>
      <w:r w:rsidRPr="0067008A">
        <w:rPr>
          <w:rFonts w:ascii="Times New Roman" w:hAnsi="Times New Roman" w:cs="Times New Roman"/>
        </w:rPr>
        <w:t>Fuente: (SRI 2021)</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La misma situación puede evidenciarse para el año 2010, hay muchas empresas del grupo que no aparecen en la declaración, y muchas de ellas no registran ningún pago del impuesto a la renta, como consta en el siguiente cuadro:</w:t>
      </w:r>
    </w:p>
    <w:p w:rsidR="006A4D59" w:rsidRPr="0067008A" w:rsidRDefault="006A4D59" w:rsidP="00677E33">
      <w:pPr>
        <w:spacing w:after="240" w:line="360" w:lineRule="auto"/>
        <w:rPr>
          <w:rFonts w:ascii="Times New Roman" w:hAnsi="Times New Roman" w:cs="Times New Roman"/>
        </w:rPr>
      </w:pPr>
    </w:p>
    <w:p w:rsidR="006A4D59" w:rsidRPr="0067008A" w:rsidRDefault="00921711" w:rsidP="00677E33">
      <w:pPr>
        <w:pStyle w:val="Descripcin"/>
        <w:spacing w:after="240" w:line="360" w:lineRule="auto"/>
        <w:rPr>
          <w:rFonts w:ascii="Times New Roman" w:hAnsi="Times New Roman" w:cs="Times New Roman"/>
          <w:sz w:val="22"/>
          <w:szCs w:val="22"/>
        </w:rPr>
      </w:pPr>
      <w:r w:rsidRPr="0067008A">
        <w:rPr>
          <w:rFonts w:ascii="Times New Roman" w:hAnsi="Times New Roman" w:cs="Times New Roman"/>
          <w:sz w:val="22"/>
          <w:szCs w:val="22"/>
        </w:rPr>
        <w:t xml:space="preserve">Tabla </w:t>
      </w:r>
      <w:r w:rsidRPr="0067008A">
        <w:rPr>
          <w:rFonts w:ascii="Times New Roman" w:hAnsi="Times New Roman" w:cs="Times New Roman"/>
          <w:sz w:val="22"/>
          <w:szCs w:val="22"/>
        </w:rPr>
        <w:fldChar w:fldCharType="begin"/>
      </w:r>
      <w:r w:rsidRPr="0067008A">
        <w:rPr>
          <w:rFonts w:ascii="Times New Roman" w:hAnsi="Times New Roman" w:cs="Times New Roman"/>
          <w:sz w:val="22"/>
          <w:szCs w:val="22"/>
        </w:rPr>
        <w:instrText>SEQ Tabla \* ARABIC</w:instrText>
      </w:r>
      <w:r w:rsidRPr="0067008A">
        <w:rPr>
          <w:rFonts w:ascii="Times New Roman" w:hAnsi="Times New Roman" w:cs="Times New Roman"/>
          <w:sz w:val="22"/>
          <w:szCs w:val="22"/>
        </w:rPr>
        <w:fldChar w:fldCharType="separate"/>
      </w:r>
      <w:r w:rsidR="0029216E" w:rsidRPr="0067008A">
        <w:rPr>
          <w:rFonts w:ascii="Times New Roman" w:hAnsi="Times New Roman" w:cs="Times New Roman"/>
          <w:noProof/>
          <w:sz w:val="22"/>
          <w:szCs w:val="22"/>
        </w:rPr>
        <w:t>4</w:t>
      </w:r>
      <w:r w:rsidRPr="0067008A">
        <w:rPr>
          <w:rFonts w:ascii="Times New Roman" w:hAnsi="Times New Roman" w:cs="Times New Roman"/>
          <w:sz w:val="22"/>
          <w:szCs w:val="22"/>
        </w:rPr>
        <w:fldChar w:fldCharType="end"/>
      </w:r>
      <w:r w:rsidRPr="0067008A">
        <w:rPr>
          <w:rFonts w:ascii="Times New Roman" w:hAnsi="Times New Roman" w:cs="Times New Roman"/>
          <w:sz w:val="22"/>
          <w:szCs w:val="22"/>
        </w:rPr>
        <w:t xml:space="preserve"> Ingresos y pago de impuestos grupo Banco de Guayaquil, año 2010, en USD</w:t>
      </w:r>
    </w:p>
    <w:tbl>
      <w:tblPr>
        <w:tblW w:w="8220" w:type="dxa"/>
        <w:tblInd w:w="65" w:type="dxa"/>
        <w:tblBorders>
          <w:top w:val="single" w:sz="8" w:space="0" w:color="000000"/>
          <w:left w:val="single" w:sz="4" w:space="0" w:color="000000"/>
          <w:bottom w:val="single" w:sz="8" w:space="0" w:color="000000"/>
          <w:right w:val="single" w:sz="4" w:space="0" w:color="000000"/>
          <w:insideH w:val="single" w:sz="8" w:space="0" w:color="000000"/>
          <w:insideV w:val="single" w:sz="4" w:space="0" w:color="000000"/>
        </w:tblBorders>
        <w:tblCellMar>
          <w:left w:w="65" w:type="dxa"/>
          <w:right w:w="70" w:type="dxa"/>
        </w:tblCellMar>
        <w:tblLook w:val="04A0" w:firstRow="1" w:lastRow="0" w:firstColumn="1" w:lastColumn="0" w:noHBand="0" w:noVBand="1"/>
      </w:tblPr>
      <w:tblGrid>
        <w:gridCol w:w="4700"/>
        <w:gridCol w:w="1760"/>
        <w:gridCol w:w="1760"/>
      </w:tblGrid>
      <w:tr w:rsidR="006A4D59" w:rsidRPr="0067008A">
        <w:trPr>
          <w:trHeight w:val="680"/>
        </w:trPr>
        <w:tc>
          <w:tcPr>
            <w:tcW w:w="4700" w:type="dxa"/>
            <w:tcBorders>
              <w:top w:val="single" w:sz="8" w:space="0" w:color="000000"/>
              <w:left w:val="single" w:sz="4" w:space="0" w:color="000000"/>
              <w:bottom w:val="single" w:sz="8" w:space="0" w:color="000000"/>
              <w:right w:val="single" w:sz="4" w:space="0" w:color="000000"/>
            </w:tcBorders>
            <w:shd w:val="clear" w:color="000000" w:fill="DCE6F1"/>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0F243E"/>
              </w:rPr>
            </w:pPr>
            <w:r w:rsidRPr="0067008A">
              <w:rPr>
                <w:rFonts w:ascii="Times New Roman" w:eastAsia="Times New Roman" w:hAnsi="Times New Roman" w:cs="Times New Roman"/>
                <w:b/>
                <w:bCs/>
                <w:color w:val="0F243E"/>
              </w:rPr>
              <w:t>Razón Social Integrante</w:t>
            </w:r>
          </w:p>
        </w:tc>
        <w:tc>
          <w:tcPr>
            <w:tcW w:w="1760" w:type="dxa"/>
            <w:tcBorders>
              <w:top w:val="single" w:sz="8" w:space="0" w:color="000000"/>
              <w:left w:val="single" w:sz="8" w:space="0" w:color="000000"/>
              <w:bottom w:val="single" w:sz="8" w:space="0" w:color="000000"/>
              <w:right w:val="single" w:sz="4" w:space="0" w:color="000000"/>
            </w:tcBorders>
            <w:shd w:val="clear" w:color="000000" w:fill="DCE6F1"/>
            <w:vAlign w:val="center"/>
          </w:tcPr>
          <w:p w:rsidR="006A4D59" w:rsidRPr="0067008A" w:rsidRDefault="00921711" w:rsidP="00677E33">
            <w:pPr>
              <w:spacing w:after="240" w:line="360" w:lineRule="auto"/>
              <w:jc w:val="center"/>
              <w:rPr>
                <w:rFonts w:ascii="Times New Roman" w:eastAsia="Times New Roman" w:hAnsi="Times New Roman" w:cs="Times New Roman"/>
                <w:b/>
                <w:bCs/>
              </w:rPr>
            </w:pPr>
            <w:r w:rsidRPr="0067008A">
              <w:rPr>
                <w:rFonts w:ascii="Times New Roman" w:eastAsia="Times New Roman" w:hAnsi="Times New Roman" w:cs="Times New Roman"/>
                <w:b/>
                <w:bCs/>
              </w:rPr>
              <w:t>Total Impuesto Causado 2010</w:t>
            </w:r>
          </w:p>
        </w:tc>
        <w:tc>
          <w:tcPr>
            <w:tcW w:w="1760" w:type="dxa"/>
            <w:tcBorders>
              <w:top w:val="single" w:sz="8" w:space="0" w:color="000000"/>
              <w:bottom w:val="single" w:sz="8" w:space="0" w:color="000000"/>
              <w:right w:val="single" w:sz="4" w:space="0" w:color="000000"/>
            </w:tcBorders>
            <w:shd w:val="clear" w:color="000000" w:fill="DCE6F1"/>
            <w:vAlign w:val="center"/>
          </w:tcPr>
          <w:p w:rsidR="006A4D59" w:rsidRPr="0067008A" w:rsidRDefault="00921711" w:rsidP="00677E33">
            <w:pPr>
              <w:spacing w:after="240" w:line="360" w:lineRule="auto"/>
              <w:jc w:val="center"/>
              <w:rPr>
                <w:rFonts w:ascii="Times New Roman" w:eastAsia="Times New Roman" w:hAnsi="Times New Roman" w:cs="Times New Roman"/>
                <w:b/>
                <w:bCs/>
              </w:rPr>
            </w:pPr>
            <w:r w:rsidRPr="0067008A">
              <w:rPr>
                <w:rFonts w:ascii="Times New Roman" w:eastAsia="Times New Roman" w:hAnsi="Times New Roman" w:cs="Times New Roman"/>
                <w:b/>
                <w:bCs/>
              </w:rPr>
              <w:t>Total Ingresos 2010</w:t>
            </w:r>
          </w:p>
        </w:tc>
      </w:tr>
      <w:tr w:rsidR="006A4D59" w:rsidRPr="0067008A">
        <w:trPr>
          <w:trHeight w:val="260"/>
        </w:trPr>
        <w:tc>
          <w:tcPr>
            <w:tcW w:w="4700" w:type="dxa"/>
            <w:tcBorders>
              <w:left w:val="single" w:sz="4"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BANCO DE GUAYAQUIL S.A.</w:t>
            </w:r>
          </w:p>
        </w:tc>
        <w:tc>
          <w:tcPr>
            <w:tcW w:w="1760" w:type="dxa"/>
            <w:tcBorders>
              <w:left w:val="single" w:sz="8"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8.397.989</w:t>
            </w:r>
          </w:p>
        </w:tc>
        <w:tc>
          <w:tcPr>
            <w:tcW w:w="1760" w:type="dxa"/>
            <w:tcBorders>
              <w:bottom w:val="single" w:sz="4" w:space="0" w:color="000000"/>
              <w:right w:val="single" w:sz="4" w:space="0" w:color="00000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296.785.170</w:t>
            </w:r>
          </w:p>
        </w:tc>
      </w:tr>
      <w:tr w:rsidR="006A4D59" w:rsidRPr="0067008A">
        <w:trPr>
          <w:trHeight w:val="520"/>
        </w:trPr>
        <w:tc>
          <w:tcPr>
            <w:tcW w:w="4700" w:type="dxa"/>
            <w:tcBorders>
              <w:left w:val="single" w:sz="4"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RIO GUAYAS COMPAÑIA DE SEGUROS Y REASEGUROS S.A.</w:t>
            </w:r>
          </w:p>
        </w:tc>
        <w:tc>
          <w:tcPr>
            <w:tcW w:w="1760" w:type="dxa"/>
            <w:tcBorders>
              <w:left w:val="single" w:sz="8"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368.858</w:t>
            </w:r>
          </w:p>
        </w:tc>
        <w:tc>
          <w:tcPr>
            <w:tcW w:w="1760" w:type="dxa"/>
            <w:tcBorders>
              <w:bottom w:val="single" w:sz="4" w:space="0" w:color="000000"/>
              <w:right w:val="single" w:sz="4" w:space="0" w:color="00000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59.165.645</w:t>
            </w:r>
          </w:p>
        </w:tc>
      </w:tr>
      <w:tr w:rsidR="006A4D59" w:rsidRPr="0067008A">
        <w:trPr>
          <w:trHeight w:val="260"/>
        </w:trPr>
        <w:tc>
          <w:tcPr>
            <w:tcW w:w="4700" w:type="dxa"/>
            <w:tcBorders>
              <w:left w:val="single" w:sz="4"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CORPORACION MULTIBG S.A.</w:t>
            </w:r>
          </w:p>
        </w:tc>
        <w:tc>
          <w:tcPr>
            <w:tcW w:w="1760" w:type="dxa"/>
            <w:tcBorders>
              <w:left w:val="single" w:sz="8"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0</w:t>
            </w:r>
          </w:p>
        </w:tc>
        <w:tc>
          <w:tcPr>
            <w:tcW w:w="1760" w:type="dxa"/>
            <w:tcBorders>
              <w:bottom w:val="single" w:sz="4" w:space="0" w:color="000000"/>
              <w:right w:val="single" w:sz="4" w:space="0" w:color="00000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11.844.071</w:t>
            </w:r>
          </w:p>
        </w:tc>
      </w:tr>
      <w:tr w:rsidR="006A4D59" w:rsidRPr="0067008A">
        <w:trPr>
          <w:trHeight w:val="520"/>
        </w:trPr>
        <w:tc>
          <w:tcPr>
            <w:tcW w:w="4700" w:type="dxa"/>
            <w:tcBorders>
              <w:left w:val="single" w:sz="4"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ADMINISTRADORA DE FONDOS DE INVERSION Y FIDEICOMISOS BG S.A.</w:t>
            </w:r>
          </w:p>
        </w:tc>
        <w:tc>
          <w:tcPr>
            <w:tcW w:w="1760" w:type="dxa"/>
            <w:tcBorders>
              <w:left w:val="single" w:sz="8"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86.460</w:t>
            </w:r>
          </w:p>
        </w:tc>
        <w:tc>
          <w:tcPr>
            <w:tcW w:w="1760" w:type="dxa"/>
            <w:tcBorders>
              <w:bottom w:val="single" w:sz="4" w:space="0" w:color="000000"/>
              <w:right w:val="single" w:sz="4" w:space="0" w:color="00000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4.642.077</w:t>
            </w:r>
          </w:p>
        </w:tc>
      </w:tr>
      <w:tr w:rsidR="006A4D59" w:rsidRPr="0067008A">
        <w:trPr>
          <w:trHeight w:val="520"/>
        </w:trPr>
        <w:tc>
          <w:tcPr>
            <w:tcW w:w="4700" w:type="dxa"/>
            <w:tcBorders>
              <w:left w:val="single" w:sz="4"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COLARI S.A. AGENCIA ASESORA PRODUCTORA DE SEGUROS</w:t>
            </w:r>
          </w:p>
        </w:tc>
        <w:tc>
          <w:tcPr>
            <w:tcW w:w="1760" w:type="dxa"/>
            <w:tcBorders>
              <w:left w:val="single" w:sz="8"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50.272</w:t>
            </w:r>
          </w:p>
        </w:tc>
        <w:tc>
          <w:tcPr>
            <w:tcW w:w="1760" w:type="dxa"/>
            <w:tcBorders>
              <w:bottom w:val="single" w:sz="4" w:space="0" w:color="000000"/>
              <w:right w:val="single" w:sz="4" w:space="0" w:color="00000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1.509.846</w:t>
            </w:r>
          </w:p>
        </w:tc>
      </w:tr>
      <w:tr w:rsidR="006A4D59" w:rsidRPr="0067008A">
        <w:trPr>
          <w:trHeight w:val="260"/>
        </w:trPr>
        <w:tc>
          <w:tcPr>
            <w:tcW w:w="4700" w:type="dxa"/>
            <w:tcBorders>
              <w:left w:val="single" w:sz="4"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CASA DE VALORES MULTIVALORES B.G. S.A.</w:t>
            </w:r>
          </w:p>
        </w:tc>
        <w:tc>
          <w:tcPr>
            <w:tcW w:w="1760" w:type="dxa"/>
            <w:tcBorders>
              <w:left w:val="single" w:sz="8"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32.916</w:t>
            </w:r>
          </w:p>
        </w:tc>
        <w:tc>
          <w:tcPr>
            <w:tcW w:w="1760" w:type="dxa"/>
            <w:tcBorders>
              <w:bottom w:val="single" w:sz="4" w:space="0" w:color="000000"/>
              <w:right w:val="single" w:sz="4" w:space="0" w:color="00000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1.297.045</w:t>
            </w:r>
          </w:p>
        </w:tc>
      </w:tr>
      <w:tr w:rsidR="006A4D59" w:rsidRPr="0067008A">
        <w:trPr>
          <w:trHeight w:val="260"/>
        </w:trPr>
        <w:tc>
          <w:tcPr>
            <w:tcW w:w="4700" w:type="dxa"/>
            <w:tcBorders>
              <w:left w:val="single" w:sz="4"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CIA ANTELISSA S. A.</w:t>
            </w:r>
          </w:p>
        </w:tc>
        <w:tc>
          <w:tcPr>
            <w:tcW w:w="1760" w:type="dxa"/>
            <w:tcBorders>
              <w:left w:val="single" w:sz="8"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0</w:t>
            </w:r>
          </w:p>
        </w:tc>
        <w:tc>
          <w:tcPr>
            <w:tcW w:w="1760" w:type="dxa"/>
            <w:tcBorders>
              <w:bottom w:val="single" w:sz="4" w:space="0" w:color="000000"/>
              <w:right w:val="single" w:sz="4" w:space="0" w:color="00000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0</w:t>
            </w:r>
          </w:p>
        </w:tc>
      </w:tr>
      <w:tr w:rsidR="006A4D59" w:rsidRPr="0067008A">
        <w:trPr>
          <w:trHeight w:val="260"/>
        </w:trPr>
        <w:tc>
          <w:tcPr>
            <w:tcW w:w="4700" w:type="dxa"/>
            <w:tcBorders>
              <w:left w:val="single" w:sz="4"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JUCARZU S.A.</w:t>
            </w:r>
          </w:p>
        </w:tc>
        <w:tc>
          <w:tcPr>
            <w:tcW w:w="1760" w:type="dxa"/>
            <w:tcBorders>
              <w:left w:val="single" w:sz="8"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0</w:t>
            </w:r>
          </w:p>
        </w:tc>
        <w:tc>
          <w:tcPr>
            <w:tcW w:w="1760" w:type="dxa"/>
            <w:tcBorders>
              <w:bottom w:val="single" w:sz="4" w:space="0" w:color="000000"/>
              <w:right w:val="single" w:sz="4" w:space="0" w:color="00000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0</w:t>
            </w:r>
          </w:p>
        </w:tc>
      </w:tr>
      <w:tr w:rsidR="006A4D59" w:rsidRPr="0067008A">
        <w:trPr>
          <w:trHeight w:val="260"/>
        </w:trPr>
        <w:tc>
          <w:tcPr>
            <w:tcW w:w="4700" w:type="dxa"/>
            <w:tcBorders>
              <w:left w:val="single" w:sz="4"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MULTIBIENES BIENES RAICES BIENESBG S.A.</w:t>
            </w:r>
          </w:p>
        </w:tc>
        <w:tc>
          <w:tcPr>
            <w:tcW w:w="1760" w:type="dxa"/>
            <w:tcBorders>
              <w:left w:val="single" w:sz="8"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0</w:t>
            </w:r>
          </w:p>
        </w:tc>
        <w:tc>
          <w:tcPr>
            <w:tcW w:w="1760" w:type="dxa"/>
            <w:tcBorders>
              <w:bottom w:val="single" w:sz="4" w:space="0" w:color="000000"/>
              <w:right w:val="single" w:sz="4" w:space="0" w:color="00000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0</w:t>
            </w:r>
          </w:p>
        </w:tc>
      </w:tr>
      <w:tr w:rsidR="006A4D59" w:rsidRPr="0067008A">
        <w:trPr>
          <w:trHeight w:val="260"/>
        </w:trPr>
        <w:tc>
          <w:tcPr>
            <w:tcW w:w="4700" w:type="dxa"/>
            <w:tcBorders>
              <w:left w:val="single" w:sz="4"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TORONTOCORP S.A.</w:t>
            </w:r>
          </w:p>
        </w:tc>
        <w:tc>
          <w:tcPr>
            <w:tcW w:w="1760" w:type="dxa"/>
            <w:tcBorders>
              <w:left w:val="single" w:sz="8"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0</w:t>
            </w:r>
          </w:p>
        </w:tc>
        <w:tc>
          <w:tcPr>
            <w:tcW w:w="1760" w:type="dxa"/>
            <w:tcBorders>
              <w:bottom w:val="single" w:sz="4" w:space="0" w:color="000000"/>
              <w:right w:val="single" w:sz="4" w:space="0" w:color="00000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0</w:t>
            </w:r>
          </w:p>
        </w:tc>
      </w:tr>
      <w:tr w:rsidR="006A4D59" w:rsidRPr="0067008A">
        <w:trPr>
          <w:trHeight w:val="540"/>
        </w:trPr>
        <w:tc>
          <w:tcPr>
            <w:tcW w:w="4700" w:type="dxa"/>
            <w:tcBorders>
              <w:left w:val="single" w:sz="4"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YOU TRAVEL AGENCY S.A. YTA AGENCIA DE VIAJES Y TURISMO</w:t>
            </w:r>
          </w:p>
        </w:tc>
        <w:tc>
          <w:tcPr>
            <w:tcW w:w="1760" w:type="dxa"/>
            <w:tcBorders>
              <w:left w:val="single" w:sz="8" w:space="0" w:color="000000"/>
              <w:bottom w:val="single" w:sz="4" w:space="0" w:color="000000"/>
              <w:right w:val="single" w:sz="4"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0</w:t>
            </w:r>
          </w:p>
        </w:tc>
        <w:tc>
          <w:tcPr>
            <w:tcW w:w="1760" w:type="dxa"/>
            <w:tcBorders>
              <w:bottom w:val="single" w:sz="4" w:space="0" w:color="000000"/>
              <w:right w:val="single" w:sz="4" w:space="0" w:color="00000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0</w:t>
            </w:r>
          </w:p>
        </w:tc>
      </w:tr>
      <w:tr w:rsidR="006A4D59" w:rsidRPr="0067008A">
        <w:trPr>
          <w:trHeight w:val="300"/>
        </w:trPr>
        <w:tc>
          <w:tcPr>
            <w:tcW w:w="4700" w:type="dxa"/>
            <w:tcBorders>
              <w:top w:val="single" w:sz="8" w:space="0" w:color="000000"/>
              <w:left w:val="single" w:sz="4" w:space="0" w:color="000000"/>
              <w:bottom w:val="single" w:sz="8" w:space="0" w:color="000000"/>
              <w:right w:val="single" w:sz="4" w:space="0" w:color="00000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000000"/>
              </w:rPr>
            </w:pPr>
            <w:r w:rsidRPr="0067008A">
              <w:rPr>
                <w:rFonts w:ascii="Times New Roman" w:eastAsia="Times New Roman" w:hAnsi="Times New Roman" w:cs="Times New Roman"/>
                <w:b/>
                <w:bCs/>
                <w:color w:val="000000"/>
              </w:rPr>
              <w:t>11</w:t>
            </w:r>
          </w:p>
        </w:tc>
        <w:tc>
          <w:tcPr>
            <w:tcW w:w="1760" w:type="dxa"/>
            <w:tcBorders>
              <w:top w:val="single" w:sz="8" w:space="0" w:color="000000"/>
              <w:bottom w:val="single" w:sz="8" w:space="0" w:color="000000"/>
              <w:right w:val="single" w:sz="4"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b/>
                <w:bCs/>
                <w:color w:val="000000"/>
              </w:rPr>
            </w:pPr>
            <w:r w:rsidRPr="0067008A">
              <w:rPr>
                <w:rFonts w:ascii="Times New Roman" w:eastAsia="Times New Roman" w:hAnsi="Times New Roman" w:cs="Times New Roman"/>
                <w:b/>
                <w:bCs/>
                <w:color w:val="000000"/>
              </w:rPr>
              <w:t>8.936.495</w:t>
            </w:r>
          </w:p>
        </w:tc>
        <w:tc>
          <w:tcPr>
            <w:tcW w:w="1760" w:type="dxa"/>
            <w:tcBorders>
              <w:top w:val="single" w:sz="8" w:space="0" w:color="000000"/>
              <w:bottom w:val="single" w:sz="8" w:space="0" w:color="000000"/>
              <w:right w:val="single" w:sz="4"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b/>
                <w:bCs/>
                <w:color w:val="000000"/>
              </w:rPr>
            </w:pPr>
            <w:r w:rsidRPr="0067008A">
              <w:rPr>
                <w:rFonts w:ascii="Times New Roman" w:eastAsia="Times New Roman" w:hAnsi="Times New Roman" w:cs="Times New Roman"/>
                <w:b/>
                <w:bCs/>
                <w:color w:val="000000"/>
              </w:rPr>
              <w:t>375.243.855</w:t>
            </w:r>
          </w:p>
        </w:tc>
      </w:tr>
    </w:tbl>
    <w:p w:rsidR="006A4D59" w:rsidRPr="0067008A" w:rsidRDefault="00921711" w:rsidP="00677E33">
      <w:pPr>
        <w:spacing w:after="240" w:line="360" w:lineRule="auto"/>
        <w:rPr>
          <w:rFonts w:ascii="Times New Roman" w:hAnsi="Times New Roman" w:cs="Times New Roman"/>
        </w:rPr>
      </w:pPr>
      <w:r w:rsidRPr="0067008A">
        <w:rPr>
          <w:rFonts w:ascii="Times New Roman" w:hAnsi="Times New Roman" w:cs="Times New Roman"/>
        </w:rPr>
        <w:t>Fuente: (SRI 2021)</w:t>
      </w:r>
    </w:p>
    <w:p w:rsidR="006A4D59" w:rsidRPr="0067008A" w:rsidRDefault="006A4D59" w:rsidP="00677E33">
      <w:pPr>
        <w:spacing w:after="240" w:line="360" w:lineRule="auto"/>
        <w:ind w:firstLine="708"/>
        <w:rPr>
          <w:rFonts w:ascii="Times New Roman" w:hAnsi="Times New Roman" w:cs="Times New Roman"/>
        </w:rPr>
      </w:pPr>
    </w:p>
    <w:p w:rsidR="006A4D59" w:rsidRPr="0067008A" w:rsidRDefault="006A4D59" w:rsidP="00677E33">
      <w:pPr>
        <w:spacing w:after="240" w:line="360" w:lineRule="auto"/>
        <w:ind w:firstLine="708"/>
        <w:rPr>
          <w:rFonts w:ascii="Times New Roman" w:hAnsi="Times New Roman" w:cs="Times New Roman"/>
        </w:rPr>
      </w:pPr>
    </w:p>
    <w:p w:rsidR="006A4D59" w:rsidRPr="0067008A" w:rsidRDefault="00921711" w:rsidP="002E7BE5">
      <w:pPr>
        <w:spacing w:after="240" w:line="360" w:lineRule="auto"/>
        <w:jc w:val="both"/>
        <w:rPr>
          <w:rFonts w:ascii="Times New Roman" w:hAnsi="Times New Roman" w:cs="Times New Roman"/>
        </w:rPr>
      </w:pPr>
      <w:r w:rsidRPr="0067008A">
        <w:rPr>
          <w:rFonts w:ascii="Times New Roman" w:hAnsi="Times New Roman" w:cs="Times New Roman"/>
        </w:rPr>
        <w:t>La situación para el año 2011 es peor con respecto a años anteriores porque ya no constan en el registro del SRI algunas de las empresas que constaban anteriormente, como puede apreciarse en el siguiente cuadro:</w:t>
      </w:r>
    </w:p>
    <w:p w:rsidR="006A4D59" w:rsidRPr="0067008A" w:rsidRDefault="00921711" w:rsidP="00677E33">
      <w:pPr>
        <w:pStyle w:val="Descripcin"/>
        <w:spacing w:after="240" w:line="360" w:lineRule="auto"/>
        <w:rPr>
          <w:rFonts w:ascii="Times New Roman" w:hAnsi="Times New Roman" w:cs="Times New Roman"/>
          <w:sz w:val="22"/>
          <w:szCs w:val="22"/>
        </w:rPr>
      </w:pPr>
      <w:r w:rsidRPr="0067008A">
        <w:rPr>
          <w:rFonts w:ascii="Times New Roman" w:hAnsi="Times New Roman" w:cs="Times New Roman"/>
          <w:sz w:val="22"/>
          <w:szCs w:val="22"/>
        </w:rPr>
        <w:t xml:space="preserve">Tabla </w:t>
      </w:r>
      <w:r w:rsidRPr="0067008A">
        <w:rPr>
          <w:rFonts w:ascii="Times New Roman" w:hAnsi="Times New Roman" w:cs="Times New Roman"/>
          <w:sz w:val="22"/>
          <w:szCs w:val="22"/>
        </w:rPr>
        <w:fldChar w:fldCharType="begin"/>
      </w:r>
      <w:r w:rsidRPr="0067008A">
        <w:rPr>
          <w:rFonts w:ascii="Times New Roman" w:hAnsi="Times New Roman" w:cs="Times New Roman"/>
          <w:sz w:val="22"/>
          <w:szCs w:val="22"/>
        </w:rPr>
        <w:instrText>SEQ Tabla \* ARABIC</w:instrText>
      </w:r>
      <w:r w:rsidRPr="0067008A">
        <w:rPr>
          <w:rFonts w:ascii="Times New Roman" w:hAnsi="Times New Roman" w:cs="Times New Roman"/>
          <w:sz w:val="22"/>
          <w:szCs w:val="22"/>
        </w:rPr>
        <w:fldChar w:fldCharType="separate"/>
      </w:r>
      <w:r w:rsidR="0029216E" w:rsidRPr="0067008A">
        <w:rPr>
          <w:rFonts w:ascii="Times New Roman" w:hAnsi="Times New Roman" w:cs="Times New Roman"/>
          <w:noProof/>
          <w:sz w:val="22"/>
          <w:szCs w:val="22"/>
        </w:rPr>
        <w:t>5</w:t>
      </w:r>
      <w:r w:rsidRPr="0067008A">
        <w:rPr>
          <w:rFonts w:ascii="Times New Roman" w:hAnsi="Times New Roman" w:cs="Times New Roman"/>
          <w:sz w:val="22"/>
          <w:szCs w:val="22"/>
        </w:rPr>
        <w:fldChar w:fldCharType="end"/>
      </w:r>
      <w:r w:rsidRPr="0067008A">
        <w:rPr>
          <w:rFonts w:ascii="Times New Roman" w:hAnsi="Times New Roman" w:cs="Times New Roman"/>
          <w:sz w:val="22"/>
          <w:szCs w:val="22"/>
        </w:rPr>
        <w:t xml:space="preserve"> Ingresos e impuestos causados, grupo Banco de Guayaquil, año 2011, en USD</w:t>
      </w:r>
    </w:p>
    <w:tbl>
      <w:tblPr>
        <w:tblW w:w="8974" w:type="dxa"/>
        <w:tblInd w:w="55" w:type="dxa"/>
        <w:tblBorders>
          <w:bottom w:val="single" w:sz="8" w:space="0" w:color="808080"/>
          <w:insideH w:val="single" w:sz="8" w:space="0" w:color="808080"/>
        </w:tblBorders>
        <w:tblCellMar>
          <w:left w:w="70" w:type="dxa"/>
          <w:right w:w="70" w:type="dxa"/>
        </w:tblCellMar>
        <w:tblLook w:val="04A0" w:firstRow="1" w:lastRow="0" w:firstColumn="1" w:lastColumn="0" w:noHBand="0" w:noVBand="1"/>
      </w:tblPr>
      <w:tblGrid>
        <w:gridCol w:w="2836"/>
        <w:gridCol w:w="1789"/>
        <w:gridCol w:w="1261"/>
        <w:gridCol w:w="1622"/>
        <w:gridCol w:w="1466"/>
      </w:tblGrid>
      <w:tr w:rsidR="006A4D59" w:rsidRPr="0067008A">
        <w:trPr>
          <w:trHeight w:val="260"/>
        </w:trPr>
        <w:tc>
          <w:tcPr>
            <w:tcW w:w="2836" w:type="dxa"/>
            <w:tcBorders>
              <w:bottom w:val="single" w:sz="8" w:space="0" w:color="808080"/>
            </w:tcBorders>
            <w:shd w:val="clear" w:color="auto" w:fill="auto"/>
            <w:vAlign w:val="center"/>
          </w:tcPr>
          <w:p w:rsidR="006A4D59" w:rsidRPr="0067008A" w:rsidRDefault="006A4D59" w:rsidP="00677E33">
            <w:pPr>
              <w:spacing w:after="240" w:line="360" w:lineRule="auto"/>
              <w:rPr>
                <w:rFonts w:ascii="Times New Roman" w:eastAsia="Times New Roman" w:hAnsi="Times New Roman" w:cs="Times New Roman"/>
                <w:color w:val="000000"/>
              </w:rPr>
            </w:pPr>
          </w:p>
        </w:tc>
        <w:tc>
          <w:tcPr>
            <w:tcW w:w="1789" w:type="dxa"/>
            <w:shd w:val="clear" w:color="auto" w:fill="auto"/>
          </w:tcPr>
          <w:p w:rsidR="006A4D59" w:rsidRPr="0067008A" w:rsidRDefault="006A4D59" w:rsidP="00677E33">
            <w:pPr>
              <w:spacing w:after="240" w:line="360" w:lineRule="auto"/>
              <w:rPr>
                <w:rFonts w:ascii="Times New Roman" w:hAnsi="Times New Roman" w:cs="Times New Roman"/>
              </w:rPr>
            </w:pPr>
          </w:p>
        </w:tc>
        <w:tc>
          <w:tcPr>
            <w:tcW w:w="1261" w:type="dxa"/>
            <w:shd w:val="clear" w:color="auto" w:fill="auto"/>
          </w:tcPr>
          <w:p w:rsidR="006A4D59" w:rsidRPr="0067008A" w:rsidRDefault="006A4D59" w:rsidP="00677E33">
            <w:pPr>
              <w:spacing w:after="240" w:line="360" w:lineRule="auto"/>
              <w:rPr>
                <w:rFonts w:ascii="Times New Roman" w:hAnsi="Times New Roman" w:cs="Times New Roman"/>
              </w:rPr>
            </w:pPr>
          </w:p>
        </w:tc>
        <w:tc>
          <w:tcPr>
            <w:tcW w:w="1622" w:type="dxa"/>
            <w:shd w:val="clear" w:color="auto" w:fill="auto"/>
          </w:tcPr>
          <w:p w:rsidR="006A4D59" w:rsidRPr="0067008A" w:rsidRDefault="006A4D59" w:rsidP="00677E33">
            <w:pPr>
              <w:spacing w:after="240" w:line="360" w:lineRule="auto"/>
              <w:rPr>
                <w:rFonts w:ascii="Times New Roman" w:hAnsi="Times New Roman" w:cs="Times New Roman"/>
              </w:rPr>
            </w:pPr>
          </w:p>
        </w:tc>
        <w:tc>
          <w:tcPr>
            <w:tcW w:w="1466" w:type="dxa"/>
            <w:shd w:val="clear" w:color="auto" w:fill="auto"/>
          </w:tcPr>
          <w:p w:rsidR="006A4D59" w:rsidRPr="0067008A" w:rsidRDefault="006A4D59" w:rsidP="00677E33">
            <w:pPr>
              <w:spacing w:after="240" w:line="360" w:lineRule="auto"/>
              <w:rPr>
                <w:rFonts w:ascii="Times New Roman" w:hAnsi="Times New Roman" w:cs="Times New Roman"/>
              </w:rPr>
            </w:pPr>
          </w:p>
        </w:tc>
      </w:tr>
      <w:tr w:rsidR="006A4D59" w:rsidRPr="0067008A">
        <w:trPr>
          <w:trHeight w:val="980"/>
        </w:trPr>
        <w:tc>
          <w:tcPr>
            <w:tcW w:w="2836" w:type="dxa"/>
            <w:tcBorders>
              <w:top w:val="single" w:sz="8" w:space="0" w:color="808080"/>
              <w:left w:val="single" w:sz="4" w:space="0" w:color="000000"/>
              <w:bottom w:val="single" w:sz="8" w:space="0" w:color="808080"/>
              <w:right w:val="single" w:sz="4" w:space="0" w:color="808080"/>
            </w:tcBorders>
            <w:shd w:val="clear" w:color="000000" w:fill="DCE6F1"/>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0F243E"/>
              </w:rPr>
            </w:pPr>
            <w:r w:rsidRPr="0067008A">
              <w:rPr>
                <w:rFonts w:ascii="Times New Roman" w:eastAsia="Times New Roman" w:hAnsi="Times New Roman" w:cs="Times New Roman"/>
                <w:b/>
                <w:bCs/>
                <w:color w:val="0F243E"/>
              </w:rPr>
              <w:t>Razón Social Integrante</w:t>
            </w:r>
          </w:p>
        </w:tc>
        <w:tc>
          <w:tcPr>
            <w:tcW w:w="1789" w:type="dxa"/>
            <w:tcBorders>
              <w:bottom w:val="single" w:sz="8" w:space="0" w:color="808080"/>
              <w:right w:val="single" w:sz="8" w:space="0" w:color="808080"/>
            </w:tcBorders>
            <w:shd w:val="clear" w:color="000000" w:fill="DCE6F1"/>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0F243E"/>
              </w:rPr>
            </w:pPr>
            <w:r w:rsidRPr="0067008A">
              <w:rPr>
                <w:rFonts w:ascii="Times New Roman" w:eastAsia="Times New Roman" w:hAnsi="Times New Roman" w:cs="Times New Roman"/>
                <w:b/>
                <w:bCs/>
                <w:color w:val="0F243E"/>
              </w:rPr>
              <w:t>Total Impuesto a la Renta Causado 2011</w:t>
            </w:r>
          </w:p>
        </w:tc>
        <w:tc>
          <w:tcPr>
            <w:tcW w:w="1261" w:type="dxa"/>
            <w:tcBorders>
              <w:left w:val="single" w:sz="4" w:space="0" w:color="808080"/>
              <w:bottom w:val="single" w:sz="8" w:space="0" w:color="808080"/>
              <w:right w:val="single" w:sz="8" w:space="0" w:color="808080"/>
            </w:tcBorders>
            <w:shd w:val="clear" w:color="000000" w:fill="DCE6F1"/>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0F243E"/>
              </w:rPr>
            </w:pPr>
            <w:r w:rsidRPr="0067008A">
              <w:rPr>
                <w:rFonts w:ascii="Times New Roman" w:eastAsia="Times New Roman" w:hAnsi="Times New Roman" w:cs="Times New Roman"/>
                <w:b/>
                <w:bCs/>
                <w:color w:val="0F243E"/>
              </w:rPr>
              <w:t>Total Ingresos 2011</w:t>
            </w:r>
          </w:p>
        </w:tc>
        <w:tc>
          <w:tcPr>
            <w:tcW w:w="1622" w:type="dxa"/>
            <w:tcBorders>
              <w:left w:val="single" w:sz="4" w:space="0" w:color="808080"/>
              <w:bottom w:val="single" w:sz="8" w:space="0" w:color="808080"/>
              <w:right w:val="single" w:sz="8" w:space="0" w:color="808080"/>
            </w:tcBorders>
            <w:shd w:val="clear" w:color="000000" w:fill="DCE6F1"/>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0F243E"/>
              </w:rPr>
            </w:pPr>
            <w:r w:rsidRPr="0067008A">
              <w:rPr>
                <w:rFonts w:ascii="Times New Roman" w:eastAsia="Times New Roman" w:hAnsi="Times New Roman" w:cs="Times New Roman"/>
                <w:b/>
                <w:bCs/>
                <w:color w:val="0F243E"/>
              </w:rPr>
              <w:t>Impuesto a los Activos en el Exterior</w:t>
            </w:r>
            <w:r w:rsidRPr="0067008A">
              <w:rPr>
                <w:rFonts w:ascii="Times New Roman" w:eastAsia="Times New Roman" w:hAnsi="Times New Roman" w:cs="Times New Roman"/>
                <w:b/>
                <w:bCs/>
                <w:color w:val="0F243E"/>
              </w:rPr>
              <w:br/>
              <w:t>2011</w:t>
            </w:r>
          </w:p>
        </w:tc>
        <w:tc>
          <w:tcPr>
            <w:tcW w:w="1466" w:type="dxa"/>
            <w:tcBorders>
              <w:left w:val="single" w:sz="4" w:space="0" w:color="808080"/>
              <w:bottom w:val="single" w:sz="8" w:space="0" w:color="808080"/>
              <w:right w:val="single" w:sz="8" w:space="0" w:color="808080"/>
            </w:tcBorders>
            <w:shd w:val="clear" w:color="000000" w:fill="DCE6F1"/>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0F243E"/>
              </w:rPr>
            </w:pPr>
            <w:r w:rsidRPr="0067008A">
              <w:rPr>
                <w:rFonts w:ascii="Times New Roman" w:eastAsia="Times New Roman" w:hAnsi="Times New Roman" w:cs="Times New Roman"/>
                <w:b/>
                <w:bCs/>
                <w:color w:val="0F243E"/>
              </w:rPr>
              <w:t>Impuesto a la Salida de Divisas</w:t>
            </w:r>
            <w:r w:rsidRPr="0067008A">
              <w:rPr>
                <w:rFonts w:ascii="Times New Roman" w:eastAsia="Times New Roman" w:hAnsi="Times New Roman" w:cs="Times New Roman"/>
                <w:b/>
                <w:bCs/>
                <w:color w:val="0F243E"/>
              </w:rPr>
              <w:br/>
              <w:t>2011</w:t>
            </w:r>
          </w:p>
        </w:tc>
      </w:tr>
      <w:tr w:rsidR="006A4D59" w:rsidRPr="0067008A">
        <w:trPr>
          <w:trHeight w:val="240"/>
        </w:trPr>
        <w:tc>
          <w:tcPr>
            <w:tcW w:w="2836" w:type="dxa"/>
            <w:tcBorders>
              <w:top w:val="single" w:sz="4" w:space="0" w:color="808080"/>
              <w:left w:val="single" w:sz="4"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BANCO DE GUAYAQUIL S.A.</w:t>
            </w:r>
          </w:p>
        </w:tc>
        <w:tc>
          <w:tcPr>
            <w:tcW w:w="1789" w:type="dxa"/>
            <w:tcBorders>
              <w:top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9.449.502</w:t>
            </w:r>
          </w:p>
        </w:tc>
        <w:tc>
          <w:tcPr>
            <w:tcW w:w="1261" w:type="dxa"/>
            <w:tcBorders>
              <w:top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396.994.922</w:t>
            </w:r>
          </w:p>
        </w:tc>
        <w:tc>
          <w:tcPr>
            <w:tcW w:w="1622" w:type="dxa"/>
            <w:tcBorders>
              <w:top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4.167.894</w:t>
            </w:r>
          </w:p>
        </w:tc>
        <w:tc>
          <w:tcPr>
            <w:tcW w:w="1466" w:type="dxa"/>
            <w:tcBorders>
              <w:top w:val="single" w:sz="4" w:space="0" w:color="808080"/>
              <w:bottom w:val="single" w:sz="4" w:space="0" w:color="808080"/>
              <w:right w:val="single" w:sz="8"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40.894</w:t>
            </w:r>
          </w:p>
        </w:tc>
      </w:tr>
      <w:tr w:rsidR="006A4D59" w:rsidRPr="0067008A">
        <w:trPr>
          <w:trHeight w:val="240"/>
        </w:trPr>
        <w:tc>
          <w:tcPr>
            <w:tcW w:w="2836" w:type="dxa"/>
            <w:tcBorders>
              <w:left w:val="single" w:sz="4"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CORPORACION MULTIBG S.A.</w:t>
            </w:r>
          </w:p>
        </w:tc>
        <w:tc>
          <w:tcPr>
            <w:tcW w:w="1789"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0</w:t>
            </w:r>
          </w:p>
        </w:tc>
        <w:tc>
          <w:tcPr>
            <w:tcW w:w="1261"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15.741.965</w:t>
            </w:r>
          </w:p>
        </w:tc>
        <w:tc>
          <w:tcPr>
            <w:tcW w:w="1622"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w:t>
            </w:r>
          </w:p>
        </w:tc>
        <w:tc>
          <w:tcPr>
            <w:tcW w:w="1466" w:type="dxa"/>
            <w:tcBorders>
              <w:bottom w:val="single" w:sz="4" w:space="0" w:color="808080"/>
              <w:right w:val="single" w:sz="8"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218</w:t>
            </w:r>
          </w:p>
        </w:tc>
      </w:tr>
      <w:tr w:rsidR="006A4D59" w:rsidRPr="0067008A">
        <w:trPr>
          <w:trHeight w:val="240"/>
        </w:trPr>
        <w:tc>
          <w:tcPr>
            <w:tcW w:w="2836" w:type="dxa"/>
            <w:tcBorders>
              <w:left w:val="single" w:sz="4"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PROMOQUIL S.A.</w:t>
            </w:r>
          </w:p>
        </w:tc>
        <w:tc>
          <w:tcPr>
            <w:tcW w:w="1789"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0</w:t>
            </w:r>
          </w:p>
        </w:tc>
        <w:tc>
          <w:tcPr>
            <w:tcW w:w="1261"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9.811.047</w:t>
            </w:r>
          </w:p>
        </w:tc>
        <w:tc>
          <w:tcPr>
            <w:tcW w:w="1622"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w:t>
            </w:r>
          </w:p>
        </w:tc>
        <w:tc>
          <w:tcPr>
            <w:tcW w:w="1466" w:type="dxa"/>
            <w:tcBorders>
              <w:bottom w:val="single" w:sz="4" w:space="0" w:color="808080"/>
              <w:right w:val="single" w:sz="8"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w:t>
            </w:r>
          </w:p>
        </w:tc>
      </w:tr>
      <w:tr w:rsidR="006A4D59" w:rsidRPr="0067008A">
        <w:trPr>
          <w:trHeight w:val="480"/>
        </w:trPr>
        <w:tc>
          <w:tcPr>
            <w:tcW w:w="2836" w:type="dxa"/>
            <w:tcBorders>
              <w:left w:val="single" w:sz="4"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COLARI S.A. AGENCIA ASESORA PRODUCTORA DE SEGUROS</w:t>
            </w:r>
          </w:p>
        </w:tc>
        <w:tc>
          <w:tcPr>
            <w:tcW w:w="1789"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39.232</w:t>
            </w:r>
          </w:p>
        </w:tc>
        <w:tc>
          <w:tcPr>
            <w:tcW w:w="1261"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3.262.438</w:t>
            </w:r>
          </w:p>
        </w:tc>
        <w:tc>
          <w:tcPr>
            <w:tcW w:w="1622"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w:t>
            </w:r>
          </w:p>
        </w:tc>
        <w:tc>
          <w:tcPr>
            <w:tcW w:w="1466" w:type="dxa"/>
            <w:tcBorders>
              <w:bottom w:val="single" w:sz="4" w:space="0" w:color="808080"/>
              <w:right w:val="single" w:sz="8"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w:t>
            </w:r>
          </w:p>
        </w:tc>
      </w:tr>
      <w:tr w:rsidR="006A4D59" w:rsidRPr="0067008A">
        <w:trPr>
          <w:trHeight w:val="500"/>
        </w:trPr>
        <w:tc>
          <w:tcPr>
            <w:tcW w:w="2836" w:type="dxa"/>
            <w:tcBorders>
              <w:left w:val="single" w:sz="4"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LASSO MENDOZA GUILLERMO ALBERTO SANTIAGO</w:t>
            </w:r>
          </w:p>
        </w:tc>
        <w:tc>
          <w:tcPr>
            <w:tcW w:w="1789"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2.609.649</w:t>
            </w:r>
          </w:p>
        </w:tc>
        <w:tc>
          <w:tcPr>
            <w:tcW w:w="1261"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7.497.528</w:t>
            </w:r>
          </w:p>
        </w:tc>
        <w:tc>
          <w:tcPr>
            <w:tcW w:w="1622"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w:t>
            </w:r>
          </w:p>
        </w:tc>
        <w:tc>
          <w:tcPr>
            <w:tcW w:w="1466" w:type="dxa"/>
            <w:tcBorders>
              <w:bottom w:val="single" w:sz="4" w:space="0" w:color="808080"/>
              <w:right w:val="single" w:sz="8"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1.645</w:t>
            </w:r>
          </w:p>
        </w:tc>
      </w:tr>
      <w:tr w:rsidR="006A4D59" w:rsidRPr="0067008A">
        <w:trPr>
          <w:trHeight w:val="260"/>
        </w:trPr>
        <w:tc>
          <w:tcPr>
            <w:tcW w:w="2836" w:type="dxa"/>
            <w:tcBorders>
              <w:top w:val="single" w:sz="8" w:space="0" w:color="808080"/>
              <w:left w:val="single" w:sz="4" w:space="0" w:color="000000"/>
              <w:bottom w:val="single" w:sz="8" w:space="0" w:color="808080"/>
              <w:right w:val="single" w:sz="8" w:space="0" w:color="80808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000000"/>
              </w:rPr>
            </w:pPr>
            <w:r w:rsidRPr="0067008A">
              <w:rPr>
                <w:rFonts w:ascii="Times New Roman" w:eastAsia="Times New Roman" w:hAnsi="Times New Roman" w:cs="Times New Roman"/>
                <w:b/>
                <w:bCs/>
                <w:color w:val="000000"/>
              </w:rPr>
              <w:t>5</w:t>
            </w:r>
          </w:p>
        </w:tc>
        <w:tc>
          <w:tcPr>
            <w:tcW w:w="1789" w:type="dxa"/>
            <w:tcBorders>
              <w:top w:val="single" w:sz="8" w:space="0" w:color="808080"/>
              <w:bottom w:val="single" w:sz="8" w:space="0" w:color="808080"/>
              <w:right w:val="single" w:sz="8"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b/>
                <w:bCs/>
                <w:color w:val="000000"/>
              </w:rPr>
            </w:pPr>
            <w:r w:rsidRPr="0067008A">
              <w:rPr>
                <w:rFonts w:ascii="Times New Roman" w:eastAsia="Times New Roman" w:hAnsi="Times New Roman" w:cs="Times New Roman"/>
                <w:b/>
                <w:bCs/>
                <w:color w:val="000000"/>
              </w:rPr>
              <w:t>12.098.383</w:t>
            </w:r>
          </w:p>
        </w:tc>
        <w:tc>
          <w:tcPr>
            <w:tcW w:w="1261" w:type="dxa"/>
            <w:tcBorders>
              <w:top w:val="single" w:sz="8" w:space="0" w:color="808080"/>
              <w:bottom w:val="single" w:sz="8" w:space="0" w:color="808080"/>
              <w:right w:val="single" w:sz="8"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b/>
                <w:bCs/>
                <w:color w:val="000000"/>
              </w:rPr>
            </w:pPr>
            <w:r w:rsidRPr="0067008A">
              <w:rPr>
                <w:rFonts w:ascii="Times New Roman" w:eastAsia="Times New Roman" w:hAnsi="Times New Roman" w:cs="Times New Roman"/>
                <w:b/>
                <w:bCs/>
                <w:color w:val="000000"/>
              </w:rPr>
              <w:t>433.307.900</w:t>
            </w:r>
          </w:p>
        </w:tc>
        <w:tc>
          <w:tcPr>
            <w:tcW w:w="1622" w:type="dxa"/>
            <w:tcBorders>
              <w:top w:val="single" w:sz="8" w:space="0" w:color="808080"/>
              <w:bottom w:val="single" w:sz="8" w:space="0" w:color="808080"/>
              <w:right w:val="single" w:sz="8"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b/>
                <w:bCs/>
                <w:color w:val="000000"/>
              </w:rPr>
            </w:pPr>
            <w:r w:rsidRPr="0067008A">
              <w:rPr>
                <w:rFonts w:ascii="Times New Roman" w:eastAsia="Times New Roman" w:hAnsi="Times New Roman" w:cs="Times New Roman"/>
                <w:b/>
                <w:bCs/>
                <w:color w:val="000000"/>
              </w:rPr>
              <w:t>4.167.894</w:t>
            </w:r>
          </w:p>
        </w:tc>
        <w:tc>
          <w:tcPr>
            <w:tcW w:w="1466" w:type="dxa"/>
            <w:tcBorders>
              <w:top w:val="single" w:sz="8" w:space="0" w:color="808080"/>
              <w:bottom w:val="single" w:sz="8" w:space="0" w:color="808080"/>
              <w:right w:val="single" w:sz="8"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b/>
                <w:bCs/>
                <w:color w:val="000000"/>
              </w:rPr>
            </w:pPr>
            <w:r w:rsidRPr="0067008A">
              <w:rPr>
                <w:rFonts w:ascii="Times New Roman" w:eastAsia="Times New Roman" w:hAnsi="Times New Roman" w:cs="Times New Roman"/>
                <w:b/>
                <w:bCs/>
                <w:color w:val="000000"/>
              </w:rPr>
              <w:t>42.756</w:t>
            </w:r>
          </w:p>
        </w:tc>
      </w:tr>
    </w:tbl>
    <w:p w:rsidR="006A4D59" w:rsidRPr="0067008A" w:rsidRDefault="00921711" w:rsidP="002E7BE5">
      <w:pPr>
        <w:spacing w:after="240" w:line="360" w:lineRule="auto"/>
        <w:rPr>
          <w:rFonts w:ascii="Times New Roman" w:hAnsi="Times New Roman" w:cs="Times New Roman"/>
        </w:rPr>
      </w:pPr>
      <w:r w:rsidRPr="0067008A">
        <w:rPr>
          <w:rFonts w:ascii="Times New Roman" w:hAnsi="Times New Roman" w:cs="Times New Roman"/>
        </w:rPr>
        <w:t>Fuente: (SRI 2021)</w:t>
      </w:r>
    </w:p>
    <w:p w:rsidR="006A4D59" w:rsidRPr="0067008A" w:rsidRDefault="00921711" w:rsidP="00677E33">
      <w:pPr>
        <w:pStyle w:val="Descripcin"/>
        <w:spacing w:after="240" w:line="360" w:lineRule="auto"/>
        <w:rPr>
          <w:rFonts w:ascii="Times New Roman" w:hAnsi="Times New Roman" w:cs="Times New Roman"/>
          <w:sz w:val="22"/>
          <w:szCs w:val="22"/>
        </w:rPr>
      </w:pPr>
      <w:r w:rsidRPr="0067008A">
        <w:rPr>
          <w:rFonts w:ascii="Times New Roman" w:hAnsi="Times New Roman" w:cs="Times New Roman"/>
          <w:sz w:val="22"/>
          <w:szCs w:val="22"/>
        </w:rPr>
        <w:t xml:space="preserve">Tabla </w:t>
      </w:r>
      <w:r w:rsidRPr="0067008A">
        <w:rPr>
          <w:rFonts w:ascii="Times New Roman" w:hAnsi="Times New Roman" w:cs="Times New Roman"/>
          <w:sz w:val="22"/>
          <w:szCs w:val="22"/>
        </w:rPr>
        <w:fldChar w:fldCharType="begin"/>
      </w:r>
      <w:r w:rsidRPr="0067008A">
        <w:rPr>
          <w:rFonts w:ascii="Times New Roman" w:hAnsi="Times New Roman" w:cs="Times New Roman"/>
          <w:sz w:val="22"/>
          <w:szCs w:val="22"/>
        </w:rPr>
        <w:instrText>SEQ Tabla \* ARABIC</w:instrText>
      </w:r>
      <w:r w:rsidRPr="0067008A">
        <w:rPr>
          <w:rFonts w:ascii="Times New Roman" w:hAnsi="Times New Roman" w:cs="Times New Roman"/>
          <w:sz w:val="22"/>
          <w:szCs w:val="22"/>
        </w:rPr>
        <w:fldChar w:fldCharType="separate"/>
      </w:r>
      <w:r w:rsidR="0029216E" w:rsidRPr="0067008A">
        <w:rPr>
          <w:rFonts w:ascii="Times New Roman" w:hAnsi="Times New Roman" w:cs="Times New Roman"/>
          <w:noProof/>
          <w:sz w:val="22"/>
          <w:szCs w:val="22"/>
        </w:rPr>
        <w:t>6</w:t>
      </w:r>
      <w:r w:rsidRPr="0067008A">
        <w:rPr>
          <w:rFonts w:ascii="Times New Roman" w:hAnsi="Times New Roman" w:cs="Times New Roman"/>
          <w:sz w:val="22"/>
          <w:szCs w:val="22"/>
        </w:rPr>
        <w:fldChar w:fldCharType="end"/>
      </w:r>
      <w:r w:rsidRPr="0067008A">
        <w:rPr>
          <w:rFonts w:ascii="Times New Roman" w:hAnsi="Times New Roman" w:cs="Times New Roman"/>
          <w:sz w:val="22"/>
          <w:szCs w:val="22"/>
        </w:rPr>
        <w:t xml:space="preserve"> Ingresos e impuestos causados, grupo Banco de Guayaquil, año 2012, en USD</w:t>
      </w:r>
    </w:p>
    <w:tbl>
      <w:tblPr>
        <w:tblW w:w="8959" w:type="dxa"/>
        <w:tblInd w:w="55" w:type="dxa"/>
        <w:tblBorders>
          <w:top w:val="single" w:sz="8" w:space="0" w:color="808080"/>
          <w:left w:val="single" w:sz="4" w:space="0" w:color="000000"/>
          <w:bottom w:val="single" w:sz="8" w:space="0" w:color="808080"/>
          <w:right w:val="single" w:sz="4" w:space="0" w:color="808080"/>
          <w:insideH w:val="single" w:sz="8" w:space="0" w:color="808080"/>
          <w:insideV w:val="single" w:sz="4" w:space="0" w:color="808080"/>
        </w:tblBorders>
        <w:tblCellMar>
          <w:left w:w="65" w:type="dxa"/>
          <w:right w:w="70" w:type="dxa"/>
        </w:tblCellMar>
        <w:tblLook w:val="04A0" w:firstRow="1" w:lastRow="0" w:firstColumn="1" w:lastColumn="0" w:noHBand="0" w:noVBand="1"/>
      </w:tblPr>
      <w:tblGrid>
        <w:gridCol w:w="2852"/>
        <w:gridCol w:w="1741"/>
        <w:gridCol w:w="1264"/>
        <w:gridCol w:w="1630"/>
        <w:gridCol w:w="1472"/>
      </w:tblGrid>
      <w:tr w:rsidR="006A4D59" w:rsidRPr="0067008A">
        <w:trPr>
          <w:trHeight w:val="980"/>
        </w:trPr>
        <w:tc>
          <w:tcPr>
            <w:tcW w:w="2852" w:type="dxa"/>
            <w:tcBorders>
              <w:top w:val="single" w:sz="8" w:space="0" w:color="808080"/>
              <w:left w:val="single" w:sz="4" w:space="0" w:color="000000"/>
              <w:bottom w:val="single" w:sz="8" w:space="0" w:color="808080"/>
              <w:right w:val="single" w:sz="4" w:space="0" w:color="808080"/>
            </w:tcBorders>
            <w:shd w:val="clear" w:color="000000" w:fill="DCE6F1"/>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0F243E"/>
              </w:rPr>
            </w:pPr>
            <w:r w:rsidRPr="0067008A">
              <w:rPr>
                <w:rFonts w:ascii="Times New Roman" w:eastAsia="Times New Roman" w:hAnsi="Times New Roman" w:cs="Times New Roman"/>
                <w:b/>
                <w:bCs/>
                <w:color w:val="0F243E"/>
              </w:rPr>
              <w:t>Razón Social Integrante</w:t>
            </w:r>
          </w:p>
        </w:tc>
        <w:tc>
          <w:tcPr>
            <w:tcW w:w="1741" w:type="dxa"/>
            <w:tcBorders>
              <w:left w:val="single" w:sz="8" w:space="0" w:color="808080"/>
              <w:bottom w:val="single" w:sz="8" w:space="0" w:color="808080"/>
              <w:right w:val="single" w:sz="8" w:space="0" w:color="808080"/>
            </w:tcBorders>
            <w:shd w:val="clear" w:color="000000" w:fill="DCE6F1"/>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0F243E"/>
              </w:rPr>
            </w:pPr>
            <w:r w:rsidRPr="0067008A">
              <w:rPr>
                <w:rFonts w:ascii="Times New Roman" w:eastAsia="Times New Roman" w:hAnsi="Times New Roman" w:cs="Times New Roman"/>
                <w:b/>
                <w:bCs/>
                <w:color w:val="0F243E"/>
              </w:rPr>
              <w:t>Total Impuesto a la Renta Causado 2012</w:t>
            </w:r>
          </w:p>
        </w:tc>
        <w:tc>
          <w:tcPr>
            <w:tcW w:w="1264" w:type="dxa"/>
            <w:tcBorders>
              <w:left w:val="single" w:sz="4" w:space="0" w:color="808080"/>
              <w:bottom w:val="single" w:sz="8" w:space="0" w:color="808080"/>
              <w:right w:val="single" w:sz="8" w:space="0" w:color="808080"/>
            </w:tcBorders>
            <w:shd w:val="clear" w:color="000000" w:fill="DCE6F1"/>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0F243E"/>
              </w:rPr>
            </w:pPr>
            <w:r w:rsidRPr="0067008A">
              <w:rPr>
                <w:rFonts w:ascii="Times New Roman" w:eastAsia="Times New Roman" w:hAnsi="Times New Roman" w:cs="Times New Roman"/>
                <w:b/>
                <w:bCs/>
                <w:color w:val="0F243E"/>
              </w:rPr>
              <w:t>Total Ingresos 2012</w:t>
            </w:r>
          </w:p>
        </w:tc>
        <w:tc>
          <w:tcPr>
            <w:tcW w:w="1630" w:type="dxa"/>
            <w:tcBorders>
              <w:left w:val="single" w:sz="4" w:space="0" w:color="808080"/>
              <w:bottom w:val="single" w:sz="8" w:space="0" w:color="808080"/>
              <w:right w:val="single" w:sz="8" w:space="0" w:color="808080"/>
            </w:tcBorders>
            <w:shd w:val="clear" w:color="000000" w:fill="DCE6F1"/>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0F243E"/>
              </w:rPr>
            </w:pPr>
            <w:r w:rsidRPr="0067008A">
              <w:rPr>
                <w:rFonts w:ascii="Times New Roman" w:eastAsia="Times New Roman" w:hAnsi="Times New Roman" w:cs="Times New Roman"/>
                <w:b/>
                <w:bCs/>
                <w:color w:val="0F243E"/>
              </w:rPr>
              <w:t>Impuesto a los Activos en el Exterior</w:t>
            </w:r>
            <w:r w:rsidRPr="0067008A">
              <w:rPr>
                <w:rFonts w:ascii="Times New Roman" w:eastAsia="Times New Roman" w:hAnsi="Times New Roman" w:cs="Times New Roman"/>
                <w:b/>
                <w:bCs/>
                <w:color w:val="0F243E"/>
              </w:rPr>
              <w:br/>
              <w:t>2012</w:t>
            </w:r>
          </w:p>
        </w:tc>
        <w:tc>
          <w:tcPr>
            <w:tcW w:w="1472" w:type="dxa"/>
            <w:tcBorders>
              <w:left w:val="single" w:sz="4" w:space="0" w:color="808080"/>
              <w:bottom w:val="single" w:sz="8" w:space="0" w:color="808080"/>
              <w:right w:val="single" w:sz="8" w:space="0" w:color="808080"/>
            </w:tcBorders>
            <w:shd w:val="clear" w:color="000000" w:fill="DCE6F1"/>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0F243E"/>
              </w:rPr>
            </w:pPr>
            <w:r w:rsidRPr="0067008A">
              <w:rPr>
                <w:rFonts w:ascii="Times New Roman" w:eastAsia="Times New Roman" w:hAnsi="Times New Roman" w:cs="Times New Roman"/>
                <w:b/>
                <w:bCs/>
                <w:color w:val="0F243E"/>
              </w:rPr>
              <w:t>Impuesto a la Salida de Divisas</w:t>
            </w:r>
            <w:r w:rsidRPr="0067008A">
              <w:rPr>
                <w:rFonts w:ascii="Times New Roman" w:eastAsia="Times New Roman" w:hAnsi="Times New Roman" w:cs="Times New Roman"/>
                <w:b/>
                <w:bCs/>
                <w:color w:val="0F243E"/>
              </w:rPr>
              <w:br/>
              <w:t>2012</w:t>
            </w:r>
          </w:p>
        </w:tc>
      </w:tr>
      <w:tr w:rsidR="006A4D59" w:rsidRPr="0067008A">
        <w:trPr>
          <w:trHeight w:val="240"/>
        </w:trPr>
        <w:tc>
          <w:tcPr>
            <w:tcW w:w="2852" w:type="dxa"/>
            <w:tcBorders>
              <w:top w:val="single" w:sz="4" w:space="0" w:color="808080"/>
              <w:left w:val="single" w:sz="4"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BANCO DE GUAYAQUIL S.A.</w:t>
            </w:r>
          </w:p>
        </w:tc>
        <w:tc>
          <w:tcPr>
            <w:tcW w:w="1741" w:type="dxa"/>
            <w:tcBorders>
              <w:top w:val="single" w:sz="4" w:space="0" w:color="808080"/>
              <w:left w:val="single" w:sz="8"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7.605.175</w:t>
            </w:r>
          </w:p>
        </w:tc>
        <w:tc>
          <w:tcPr>
            <w:tcW w:w="1264" w:type="dxa"/>
            <w:tcBorders>
              <w:top w:val="single" w:sz="4" w:space="0" w:color="808080"/>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370.861.110</w:t>
            </w:r>
          </w:p>
        </w:tc>
        <w:tc>
          <w:tcPr>
            <w:tcW w:w="1630" w:type="dxa"/>
            <w:tcBorders>
              <w:top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4.197.002</w:t>
            </w:r>
          </w:p>
        </w:tc>
        <w:tc>
          <w:tcPr>
            <w:tcW w:w="1472" w:type="dxa"/>
            <w:tcBorders>
              <w:top w:val="single" w:sz="4" w:space="0" w:color="808080"/>
              <w:bottom w:val="single" w:sz="4" w:space="0" w:color="808080"/>
              <w:right w:val="single" w:sz="8"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113.882</w:t>
            </w:r>
          </w:p>
        </w:tc>
      </w:tr>
      <w:tr w:rsidR="006A4D59" w:rsidRPr="0067008A">
        <w:trPr>
          <w:trHeight w:val="240"/>
        </w:trPr>
        <w:tc>
          <w:tcPr>
            <w:tcW w:w="2852" w:type="dxa"/>
            <w:tcBorders>
              <w:left w:val="single" w:sz="4"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CORPORACION MULTIBG S.A.</w:t>
            </w:r>
          </w:p>
        </w:tc>
        <w:tc>
          <w:tcPr>
            <w:tcW w:w="1741" w:type="dxa"/>
            <w:tcBorders>
              <w:left w:val="single" w:sz="8"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0</w:t>
            </w:r>
          </w:p>
        </w:tc>
        <w:tc>
          <w:tcPr>
            <w:tcW w:w="1264"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13.609.985</w:t>
            </w:r>
          </w:p>
        </w:tc>
        <w:tc>
          <w:tcPr>
            <w:tcW w:w="163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w:t>
            </w:r>
          </w:p>
        </w:tc>
        <w:tc>
          <w:tcPr>
            <w:tcW w:w="1472" w:type="dxa"/>
            <w:tcBorders>
              <w:bottom w:val="single" w:sz="4" w:space="0" w:color="808080"/>
              <w:right w:val="single" w:sz="8"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0</w:t>
            </w:r>
          </w:p>
        </w:tc>
      </w:tr>
      <w:tr w:rsidR="006A4D59" w:rsidRPr="0067008A">
        <w:trPr>
          <w:trHeight w:val="240"/>
        </w:trPr>
        <w:tc>
          <w:tcPr>
            <w:tcW w:w="2852" w:type="dxa"/>
            <w:tcBorders>
              <w:left w:val="single" w:sz="4"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PROMOQUIL S.A.</w:t>
            </w:r>
          </w:p>
        </w:tc>
        <w:tc>
          <w:tcPr>
            <w:tcW w:w="1741" w:type="dxa"/>
            <w:tcBorders>
              <w:left w:val="single" w:sz="8"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0</w:t>
            </w:r>
          </w:p>
        </w:tc>
        <w:tc>
          <w:tcPr>
            <w:tcW w:w="1264"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1.341.309</w:t>
            </w:r>
          </w:p>
        </w:tc>
        <w:tc>
          <w:tcPr>
            <w:tcW w:w="163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w:t>
            </w:r>
          </w:p>
        </w:tc>
        <w:tc>
          <w:tcPr>
            <w:tcW w:w="1472" w:type="dxa"/>
            <w:tcBorders>
              <w:bottom w:val="single" w:sz="4" w:space="0" w:color="808080"/>
              <w:right w:val="single" w:sz="8"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w:t>
            </w:r>
          </w:p>
        </w:tc>
      </w:tr>
      <w:tr w:rsidR="006A4D59" w:rsidRPr="0067008A">
        <w:trPr>
          <w:trHeight w:val="480"/>
        </w:trPr>
        <w:tc>
          <w:tcPr>
            <w:tcW w:w="2852" w:type="dxa"/>
            <w:tcBorders>
              <w:left w:val="single" w:sz="4"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COLARI S.A. AGENCIA ASESORA PRODUCTORA DE SEGUROS</w:t>
            </w:r>
          </w:p>
        </w:tc>
        <w:tc>
          <w:tcPr>
            <w:tcW w:w="1741" w:type="dxa"/>
            <w:tcBorders>
              <w:left w:val="single" w:sz="8"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1.485</w:t>
            </w:r>
          </w:p>
        </w:tc>
        <w:tc>
          <w:tcPr>
            <w:tcW w:w="1264"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518.218</w:t>
            </w:r>
          </w:p>
        </w:tc>
        <w:tc>
          <w:tcPr>
            <w:tcW w:w="163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w:t>
            </w:r>
          </w:p>
        </w:tc>
        <w:tc>
          <w:tcPr>
            <w:tcW w:w="1472" w:type="dxa"/>
            <w:tcBorders>
              <w:bottom w:val="single" w:sz="4" w:space="0" w:color="808080"/>
              <w:right w:val="single" w:sz="8"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w:t>
            </w:r>
          </w:p>
        </w:tc>
      </w:tr>
      <w:tr w:rsidR="006A4D59" w:rsidRPr="0067008A">
        <w:trPr>
          <w:trHeight w:val="500"/>
        </w:trPr>
        <w:tc>
          <w:tcPr>
            <w:tcW w:w="2852" w:type="dxa"/>
            <w:tcBorders>
              <w:left w:val="single" w:sz="4"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LASSO MENDOZA GUILLERMO ALBERTO SANTIAGO</w:t>
            </w:r>
          </w:p>
        </w:tc>
        <w:tc>
          <w:tcPr>
            <w:tcW w:w="1741" w:type="dxa"/>
            <w:tcBorders>
              <w:left w:val="single" w:sz="8"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0</w:t>
            </w:r>
          </w:p>
        </w:tc>
        <w:tc>
          <w:tcPr>
            <w:tcW w:w="1264"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0</w:t>
            </w:r>
          </w:p>
        </w:tc>
        <w:tc>
          <w:tcPr>
            <w:tcW w:w="163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w:t>
            </w:r>
          </w:p>
        </w:tc>
        <w:tc>
          <w:tcPr>
            <w:tcW w:w="1472" w:type="dxa"/>
            <w:tcBorders>
              <w:bottom w:val="single" w:sz="4" w:space="0" w:color="808080"/>
              <w:right w:val="single" w:sz="8"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1.380</w:t>
            </w:r>
          </w:p>
        </w:tc>
      </w:tr>
      <w:tr w:rsidR="006A4D59" w:rsidRPr="0067008A">
        <w:trPr>
          <w:trHeight w:val="260"/>
        </w:trPr>
        <w:tc>
          <w:tcPr>
            <w:tcW w:w="2852" w:type="dxa"/>
            <w:tcBorders>
              <w:top w:val="single" w:sz="8" w:space="0" w:color="808080"/>
              <w:left w:val="single" w:sz="4" w:space="0" w:color="000000"/>
              <w:bottom w:val="single" w:sz="8" w:space="0" w:color="808080"/>
              <w:right w:val="single" w:sz="8" w:space="0" w:color="80808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000000"/>
              </w:rPr>
            </w:pPr>
            <w:r w:rsidRPr="0067008A">
              <w:rPr>
                <w:rFonts w:ascii="Times New Roman" w:eastAsia="Times New Roman" w:hAnsi="Times New Roman" w:cs="Times New Roman"/>
                <w:b/>
                <w:bCs/>
                <w:color w:val="000000"/>
              </w:rPr>
              <w:t>5</w:t>
            </w:r>
          </w:p>
        </w:tc>
        <w:tc>
          <w:tcPr>
            <w:tcW w:w="1741" w:type="dxa"/>
            <w:tcBorders>
              <w:top w:val="single" w:sz="8" w:space="0" w:color="808080"/>
              <w:left w:val="single" w:sz="8" w:space="0" w:color="808080"/>
              <w:bottom w:val="single" w:sz="8" w:space="0" w:color="808080"/>
              <w:right w:val="single" w:sz="8"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b/>
                <w:bCs/>
                <w:color w:val="000000"/>
              </w:rPr>
            </w:pPr>
            <w:r w:rsidRPr="0067008A">
              <w:rPr>
                <w:rFonts w:ascii="Times New Roman" w:eastAsia="Times New Roman" w:hAnsi="Times New Roman" w:cs="Times New Roman"/>
                <w:b/>
                <w:bCs/>
                <w:color w:val="000000"/>
              </w:rPr>
              <w:t>7.606.660</w:t>
            </w:r>
          </w:p>
        </w:tc>
        <w:tc>
          <w:tcPr>
            <w:tcW w:w="1264" w:type="dxa"/>
            <w:tcBorders>
              <w:top w:val="single" w:sz="8" w:space="0" w:color="808080"/>
              <w:bottom w:val="single" w:sz="8" w:space="0" w:color="808080"/>
              <w:right w:val="single" w:sz="8"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b/>
                <w:bCs/>
                <w:color w:val="000000"/>
              </w:rPr>
            </w:pPr>
            <w:r w:rsidRPr="0067008A">
              <w:rPr>
                <w:rFonts w:ascii="Times New Roman" w:eastAsia="Times New Roman" w:hAnsi="Times New Roman" w:cs="Times New Roman"/>
                <w:b/>
                <w:bCs/>
                <w:color w:val="000000"/>
              </w:rPr>
              <w:t>386.330.621</w:t>
            </w:r>
          </w:p>
        </w:tc>
        <w:tc>
          <w:tcPr>
            <w:tcW w:w="1630" w:type="dxa"/>
            <w:tcBorders>
              <w:top w:val="single" w:sz="8" w:space="0" w:color="808080"/>
              <w:bottom w:val="single" w:sz="8" w:space="0" w:color="808080"/>
              <w:right w:val="single" w:sz="8"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b/>
                <w:bCs/>
                <w:color w:val="000000"/>
              </w:rPr>
            </w:pPr>
            <w:r w:rsidRPr="0067008A">
              <w:rPr>
                <w:rFonts w:ascii="Times New Roman" w:eastAsia="Times New Roman" w:hAnsi="Times New Roman" w:cs="Times New Roman"/>
                <w:b/>
                <w:bCs/>
                <w:color w:val="000000"/>
              </w:rPr>
              <w:t>4.197.002</w:t>
            </w:r>
          </w:p>
        </w:tc>
        <w:tc>
          <w:tcPr>
            <w:tcW w:w="1472" w:type="dxa"/>
            <w:tcBorders>
              <w:top w:val="single" w:sz="8" w:space="0" w:color="808080"/>
              <w:bottom w:val="single" w:sz="8" w:space="0" w:color="808080"/>
              <w:right w:val="single" w:sz="8"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b/>
                <w:bCs/>
                <w:color w:val="000000"/>
              </w:rPr>
            </w:pPr>
            <w:r w:rsidRPr="0067008A">
              <w:rPr>
                <w:rFonts w:ascii="Times New Roman" w:eastAsia="Times New Roman" w:hAnsi="Times New Roman" w:cs="Times New Roman"/>
                <w:b/>
                <w:bCs/>
                <w:color w:val="000000"/>
              </w:rPr>
              <w:t>115.262</w:t>
            </w:r>
          </w:p>
        </w:tc>
      </w:tr>
    </w:tbl>
    <w:p w:rsidR="006A4D59" w:rsidRPr="0067008A" w:rsidRDefault="006A4D59" w:rsidP="00677E33">
      <w:pPr>
        <w:spacing w:after="240" w:line="360" w:lineRule="auto"/>
        <w:ind w:firstLine="708"/>
        <w:rPr>
          <w:rFonts w:ascii="Times New Roman" w:hAnsi="Times New Roman" w:cs="Times New Roman"/>
        </w:rPr>
      </w:pPr>
    </w:p>
    <w:p w:rsidR="006A4D59" w:rsidRPr="0067008A" w:rsidRDefault="00921711" w:rsidP="00677E33">
      <w:pPr>
        <w:spacing w:after="240" w:line="360" w:lineRule="auto"/>
        <w:rPr>
          <w:rFonts w:ascii="Times New Roman" w:hAnsi="Times New Roman" w:cs="Times New Roman"/>
        </w:rPr>
      </w:pPr>
      <w:r w:rsidRPr="0067008A">
        <w:rPr>
          <w:rFonts w:ascii="Times New Roman" w:hAnsi="Times New Roman" w:cs="Times New Roman"/>
        </w:rPr>
        <w:t>Fuente: (SRI 2021)</w:t>
      </w:r>
    </w:p>
    <w:p w:rsidR="006A4D59" w:rsidRPr="0067008A" w:rsidRDefault="006A4D59" w:rsidP="00677E33">
      <w:pPr>
        <w:spacing w:after="240" w:line="360" w:lineRule="auto"/>
        <w:rPr>
          <w:rFonts w:ascii="Times New Roman" w:hAnsi="Times New Roman" w:cs="Times New Roman"/>
        </w:rPr>
      </w:pPr>
    </w:p>
    <w:p w:rsidR="006A4D59" w:rsidRPr="0067008A" w:rsidRDefault="00921711" w:rsidP="002E7BE5">
      <w:pPr>
        <w:spacing w:after="240" w:line="360" w:lineRule="auto"/>
        <w:jc w:val="both"/>
        <w:rPr>
          <w:rFonts w:ascii="Times New Roman" w:hAnsi="Times New Roman" w:cs="Times New Roman"/>
        </w:rPr>
      </w:pPr>
      <w:r w:rsidRPr="0067008A">
        <w:rPr>
          <w:rFonts w:ascii="Times New Roman" w:hAnsi="Times New Roman" w:cs="Times New Roman"/>
        </w:rPr>
        <w:t>En el caso del año 2013, el grupo siguen aún sin declarar el conjunto de sus actividades económicas, no aparecen tampoco los fideicomisos, ni tampoco sus inversiones en el extranjero como BANISI, por ejemplo.</w:t>
      </w:r>
    </w:p>
    <w:p w:rsidR="006A4D59" w:rsidRPr="0067008A" w:rsidRDefault="00921711" w:rsidP="00677E33">
      <w:pPr>
        <w:pStyle w:val="Descripcin"/>
        <w:spacing w:after="240" w:line="360" w:lineRule="auto"/>
        <w:rPr>
          <w:rFonts w:ascii="Times New Roman" w:hAnsi="Times New Roman" w:cs="Times New Roman"/>
          <w:sz w:val="22"/>
          <w:szCs w:val="22"/>
        </w:rPr>
      </w:pPr>
      <w:r w:rsidRPr="0067008A">
        <w:rPr>
          <w:rFonts w:ascii="Times New Roman" w:hAnsi="Times New Roman" w:cs="Times New Roman"/>
          <w:sz w:val="22"/>
          <w:szCs w:val="22"/>
        </w:rPr>
        <w:t xml:space="preserve">Tabla </w:t>
      </w:r>
      <w:r w:rsidRPr="0067008A">
        <w:rPr>
          <w:rFonts w:ascii="Times New Roman" w:hAnsi="Times New Roman" w:cs="Times New Roman"/>
          <w:sz w:val="22"/>
          <w:szCs w:val="22"/>
        </w:rPr>
        <w:fldChar w:fldCharType="begin"/>
      </w:r>
      <w:r w:rsidRPr="0067008A">
        <w:rPr>
          <w:rFonts w:ascii="Times New Roman" w:hAnsi="Times New Roman" w:cs="Times New Roman"/>
          <w:sz w:val="22"/>
          <w:szCs w:val="22"/>
        </w:rPr>
        <w:instrText>SEQ Tabla \* ARABIC</w:instrText>
      </w:r>
      <w:r w:rsidRPr="0067008A">
        <w:rPr>
          <w:rFonts w:ascii="Times New Roman" w:hAnsi="Times New Roman" w:cs="Times New Roman"/>
          <w:sz w:val="22"/>
          <w:szCs w:val="22"/>
        </w:rPr>
        <w:fldChar w:fldCharType="separate"/>
      </w:r>
      <w:r w:rsidR="0029216E" w:rsidRPr="0067008A">
        <w:rPr>
          <w:rFonts w:ascii="Times New Roman" w:hAnsi="Times New Roman" w:cs="Times New Roman"/>
          <w:noProof/>
          <w:sz w:val="22"/>
          <w:szCs w:val="22"/>
        </w:rPr>
        <w:t>7</w:t>
      </w:r>
      <w:r w:rsidRPr="0067008A">
        <w:rPr>
          <w:rFonts w:ascii="Times New Roman" w:hAnsi="Times New Roman" w:cs="Times New Roman"/>
          <w:sz w:val="22"/>
          <w:szCs w:val="22"/>
        </w:rPr>
        <w:fldChar w:fldCharType="end"/>
      </w:r>
      <w:r w:rsidRPr="0067008A">
        <w:rPr>
          <w:rFonts w:ascii="Times New Roman" w:hAnsi="Times New Roman" w:cs="Times New Roman"/>
          <w:sz w:val="22"/>
          <w:szCs w:val="22"/>
        </w:rPr>
        <w:t xml:space="preserve"> Ingresos e impuestos causados grupo Banco de Guayaquil, año 2013, en USD</w:t>
      </w:r>
    </w:p>
    <w:tbl>
      <w:tblPr>
        <w:tblpPr w:leftFromText="141" w:rightFromText="141" w:horzAnchor="margin" w:tblpXSpec="center" w:tblpY="1129"/>
        <w:tblW w:w="11641" w:type="dxa"/>
        <w:tblBorders>
          <w:top w:val="single" w:sz="8" w:space="0" w:color="808080"/>
          <w:left w:val="single" w:sz="4" w:space="0" w:color="808080"/>
          <w:bottom w:val="single" w:sz="4" w:space="0" w:color="808080"/>
          <w:right w:val="single" w:sz="4" w:space="0" w:color="808080"/>
          <w:insideH w:val="single" w:sz="4" w:space="0" w:color="808080"/>
          <w:insideV w:val="single" w:sz="4" w:space="0" w:color="808080"/>
        </w:tblBorders>
        <w:tblCellMar>
          <w:left w:w="65" w:type="dxa"/>
          <w:right w:w="70" w:type="dxa"/>
        </w:tblCellMar>
        <w:tblLook w:val="04A0" w:firstRow="1" w:lastRow="0" w:firstColumn="1" w:lastColumn="0" w:noHBand="0" w:noVBand="1"/>
      </w:tblPr>
      <w:tblGrid>
        <w:gridCol w:w="1712"/>
        <w:gridCol w:w="1400"/>
        <w:gridCol w:w="1510"/>
        <w:gridCol w:w="1675"/>
        <w:gridCol w:w="1510"/>
        <w:gridCol w:w="1290"/>
        <w:gridCol w:w="1125"/>
        <w:gridCol w:w="1510"/>
      </w:tblGrid>
      <w:tr w:rsidR="006A4D59" w:rsidRPr="0067008A" w:rsidTr="00125772">
        <w:trPr>
          <w:trHeight w:val="740"/>
        </w:trPr>
        <w:tc>
          <w:tcPr>
            <w:tcW w:w="1775" w:type="dxa"/>
            <w:tcBorders>
              <w:top w:val="single" w:sz="8" w:space="0" w:color="808080"/>
              <w:left w:val="single" w:sz="4" w:space="0" w:color="808080"/>
              <w:bottom w:val="single" w:sz="4" w:space="0" w:color="808080"/>
              <w:right w:val="single" w:sz="4" w:space="0" w:color="808080"/>
            </w:tcBorders>
            <w:shd w:val="clear" w:color="000000" w:fill="DCE6F1"/>
            <w:vAlign w:val="center"/>
          </w:tcPr>
          <w:p w:rsidR="006A4D59" w:rsidRPr="0067008A" w:rsidRDefault="00921711" w:rsidP="00125772">
            <w:pPr>
              <w:spacing w:after="240" w:line="360" w:lineRule="auto"/>
              <w:jc w:val="center"/>
              <w:rPr>
                <w:rFonts w:ascii="Times New Roman" w:eastAsia="Times New Roman" w:hAnsi="Times New Roman" w:cs="Times New Roman"/>
                <w:b/>
                <w:bCs/>
                <w:color w:val="0F243E"/>
              </w:rPr>
            </w:pPr>
            <w:r w:rsidRPr="0067008A">
              <w:rPr>
                <w:rFonts w:ascii="Times New Roman" w:eastAsia="Times New Roman" w:hAnsi="Times New Roman" w:cs="Times New Roman"/>
                <w:b/>
                <w:bCs/>
                <w:color w:val="0F243E"/>
              </w:rPr>
              <w:t>Razón Social Integrante</w:t>
            </w:r>
          </w:p>
        </w:tc>
        <w:tc>
          <w:tcPr>
            <w:tcW w:w="9866" w:type="dxa"/>
            <w:gridSpan w:val="7"/>
            <w:tcBorders>
              <w:top w:val="single" w:sz="8" w:space="0" w:color="808080"/>
              <w:left w:val="single" w:sz="8" w:space="0" w:color="808080"/>
              <w:bottom w:val="single" w:sz="8" w:space="0" w:color="808080"/>
              <w:right w:val="single" w:sz="8" w:space="0" w:color="808080"/>
            </w:tcBorders>
            <w:shd w:val="clear" w:color="000000" w:fill="F2F2F2"/>
            <w:vAlign w:val="center"/>
          </w:tcPr>
          <w:p w:rsidR="006A4D59" w:rsidRPr="0067008A" w:rsidRDefault="00921711" w:rsidP="00125772">
            <w:pPr>
              <w:spacing w:after="240" w:line="360" w:lineRule="auto"/>
              <w:jc w:val="center"/>
              <w:rPr>
                <w:rFonts w:ascii="Times New Roman" w:eastAsia="Times New Roman" w:hAnsi="Times New Roman" w:cs="Times New Roman"/>
                <w:b/>
                <w:bCs/>
              </w:rPr>
            </w:pPr>
            <w:r w:rsidRPr="0067008A">
              <w:rPr>
                <w:rFonts w:ascii="Times New Roman" w:eastAsia="Times New Roman" w:hAnsi="Times New Roman" w:cs="Times New Roman"/>
                <w:b/>
                <w:bCs/>
              </w:rPr>
              <w:t>2013</w:t>
            </w:r>
          </w:p>
        </w:tc>
      </w:tr>
      <w:tr w:rsidR="006A4D59" w:rsidRPr="0067008A" w:rsidTr="00125772">
        <w:trPr>
          <w:trHeight w:val="960"/>
        </w:trPr>
        <w:tc>
          <w:tcPr>
            <w:tcW w:w="177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125772">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BANCO DE GUAYAQUIL S.A.</w:t>
            </w:r>
          </w:p>
        </w:tc>
        <w:tc>
          <w:tcPr>
            <w:tcW w:w="1378" w:type="dxa"/>
            <w:tcBorders>
              <w:bottom w:val="single" w:sz="4" w:space="0" w:color="808080"/>
              <w:right w:val="single" w:sz="4" w:space="0" w:color="808080"/>
            </w:tcBorders>
            <w:shd w:val="clear" w:color="000000" w:fill="DCE6F1"/>
            <w:vAlign w:val="center"/>
          </w:tcPr>
          <w:p w:rsidR="006A4D59" w:rsidRPr="0067008A" w:rsidRDefault="00921711" w:rsidP="00125772">
            <w:pPr>
              <w:spacing w:after="240" w:line="360" w:lineRule="auto"/>
              <w:jc w:val="center"/>
              <w:rPr>
                <w:rFonts w:ascii="Times New Roman" w:eastAsia="Times New Roman" w:hAnsi="Times New Roman" w:cs="Times New Roman"/>
                <w:b/>
                <w:bCs/>
                <w:color w:val="0F243E"/>
              </w:rPr>
            </w:pPr>
            <w:r w:rsidRPr="0067008A">
              <w:rPr>
                <w:rFonts w:ascii="Times New Roman" w:eastAsia="Times New Roman" w:hAnsi="Times New Roman" w:cs="Times New Roman"/>
                <w:b/>
                <w:bCs/>
                <w:color w:val="0F243E"/>
              </w:rPr>
              <w:t xml:space="preserve">Total Impuesto a la Renta Causado </w:t>
            </w:r>
          </w:p>
        </w:tc>
        <w:tc>
          <w:tcPr>
            <w:tcW w:w="1487" w:type="dxa"/>
            <w:tcBorders>
              <w:bottom w:val="single" w:sz="4" w:space="0" w:color="808080"/>
              <w:right w:val="single" w:sz="4" w:space="0" w:color="808080"/>
            </w:tcBorders>
            <w:shd w:val="clear" w:color="000000" w:fill="DCE6F1"/>
            <w:vAlign w:val="center"/>
          </w:tcPr>
          <w:p w:rsidR="006A4D59" w:rsidRPr="0067008A" w:rsidRDefault="00921711" w:rsidP="00125772">
            <w:pPr>
              <w:spacing w:after="240" w:line="360" w:lineRule="auto"/>
              <w:jc w:val="center"/>
              <w:rPr>
                <w:rFonts w:ascii="Times New Roman" w:eastAsia="Times New Roman" w:hAnsi="Times New Roman" w:cs="Times New Roman"/>
                <w:b/>
                <w:bCs/>
                <w:color w:val="0F243E"/>
              </w:rPr>
            </w:pPr>
            <w:r w:rsidRPr="0067008A">
              <w:rPr>
                <w:rFonts w:ascii="Times New Roman" w:eastAsia="Times New Roman" w:hAnsi="Times New Roman" w:cs="Times New Roman"/>
                <w:b/>
                <w:bCs/>
                <w:color w:val="0F243E"/>
              </w:rPr>
              <w:t xml:space="preserve">Total Ingresos </w:t>
            </w:r>
          </w:p>
        </w:tc>
        <w:tc>
          <w:tcPr>
            <w:tcW w:w="1649" w:type="dxa"/>
            <w:tcBorders>
              <w:bottom w:val="single" w:sz="4" w:space="0" w:color="808080"/>
              <w:right w:val="single" w:sz="4" w:space="0" w:color="808080"/>
            </w:tcBorders>
            <w:shd w:val="clear" w:color="000000" w:fill="DCE6F1"/>
            <w:vAlign w:val="center"/>
          </w:tcPr>
          <w:p w:rsidR="006A4D59" w:rsidRPr="0067008A" w:rsidRDefault="00921711" w:rsidP="00125772">
            <w:pPr>
              <w:spacing w:after="240" w:line="360" w:lineRule="auto"/>
              <w:jc w:val="center"/>
              <w:rPr>
                <w:rFonts w:ascii="Times New Roman" w:eastAsia="Times New Roman" w:hAnsi="Times New Roman" w:cs="Times New Roman"/>
                <w:b/>
                <w:bCs/>
                <w:color w:val="0F243E"/>
              </w:rPr>
            </w:pPr>
            <w:r w:rsidRPr="0067008A">
              <w:rPr>
                <w:rFonts w:ascii="Times New Roman" w:eastAsia="Times New Roman" w:hAnsi="Times New Roman" w:cs="Times New Roman"/>
                <w:b/>
                <w:bCs/>
                <w:color w:val="0F243E"/>
              </w:rPr>
              <w:t xml:space="preserve">Total activo </w:t>
            </w:r>
          </w:p>
        </w:tc>
        <w:tc>
          <w:tcPr>
            <w:tcW w:w="1487" w:type="dxa"/>
            <w:tcBorders>
              <w:bottom w:val="single" w:sz="4" w:space="0" w:color="808080"/>
              <w:right w:val="single" w:sz="4" w:space="0" w:color="808080"/>
            </w:tcBorders>
            <w:shd w:val="clear" w:color="000000" w:fill="DCE6F1"/>
            <w:vAlign w:val="center"/>
          </w:tcPr>
          <w:p w:rsidR="006A4D59" w:rsidRPr="0067008A" w:rsidRDefault="00921711" w:rsidP="00125772">
            <w:pPr>
              <w:spacing w:after="240" w:line="360" w:lineRule="auto"/>
              <w:jc w:val="center"/>
              <w:rPr>
                <w:rFonts w:ascii="Times New Roman" w:eastAsia="Times New Roman" w:hAnsi="Times New Roman" w:cs="Times New Roman"/>
                <w:b/>
                <w:bCs/>
                <w:color w:val="0F243E"/>
              </w:rPr>
            </w:pPr>
            <w:r w:rsidRPr="0067008A">
              <w:rPr>
                <w:rFonts w:ascii="Times New Roman" w:eastAsia="Times New Roman" w:hAnsi="Times New Roman" w:cs="Times New Roman"/>
                <w:b/>
                <w:bCs/>
                <w:color w:val="0F243E"/>
              </w:rPr>
              <w:t xml:space="preserve">Total patrimonio neto </w:t>
            </w:r>
          </w:p>
        </w:tc>
        <w:tc>
          <w:tcPr>
            <w:tcW w:w="1270" w:type="dxa"/>
            <w:tcBorders>
              <w:bottom w:val="single" w:sz="4" w:space="0" w:color="808080"/>
              <w:right w:val="single" w:sz="4" w:space="0" w:color="808080"/>
            </w:tcBorders>
            <w:shd w:val="clear" w:color="000000" w:fill="DCE6F1"/>
            <w:vAlign w:val="center"/>
          </w:tcPr>
          <w:p w:rsidR="006A4D59" w:rsidRPr="0067008A" w:rsidRDefault="00921711" w:rsidP="00125772">
            <w:pPr>
              <w:spacing w:after="240" w:line="360" w:lineRule="auto"/>
              <w:jc w:val="center"/>
              <w:rPr>
                <w:rFonts w:ascii="Times New Roman" w:eastAsia="Times New Roman" w:hAnsi="Times New Roman" w:cs="Times New Roman"/>
                <w:b/>
                <w:bCs/>
                <w:color w:val="0F243E"/>
              </w:rPr>
            </w:pPr>
            <w:r w:rsidRPr="0067008A">
              <w:rPr>
                <w:rFonts w:ascii="Times New Roman" w:eastAsia="Times New Roman" w:hAnsi="Times New Roman" w:cs="Times New Roman"/>
                <w:b/>
                <w:bCs/>
                <w:color w:val="0F243E"/>
              </w:rPr>
              <w:t>Impuesto a los Activos en el Exterior</w:t>
            </w:r>
          </w:p>
        </w:tc>
        <w:tc>
          <w:tcPr>
            <w:tcW w:w="1108" w:type="dxa"/>
            <w:tcBorders>
              <w:bottom w:val="single" w:sz="4" w:space="0" w:color="808080"/>
              <w:right w:val="single" w:sz="4" w:space="0" w:color="808080"/>
            </w:tcBorders>
            <w:shd w:val="clear" w:color="000000" w:fill="DCE6F1"/>
            <w:vAlign w:val="center"/>
          </w:tcPr>
          <w:p w:rsidR="006A4D59" w:rsidRPr="0067008A" w:rsidRDefault="00921711" w:rsidP="00125772">
            <w:pPr>
              <w:spacing w:after="240" w:line="360" w:lineRule="auto"/>
              <w:jc w:val="center"/>
              <w:rPr>
                <w:rFonts w:ascii="Times New Roman" w:eastAsia="Times New Roman" w:hAnsi="Times New Roman" w:cs="Times New Roman"/>
                <w:b/>
                <w:bCs/>
                <w:color w:val="0F243E"/>
              </w:rPr>
            </w:pPr>
            <w:r w:rsidRPr="0067008A">
              <w:rPr>
                <w:rFonts w:ascii="Times New Roman" w:eastAsia="Times New Roman" w:hAnsi="Times New Roman" w:cs="Times New Roman"/>
                <w:b/>
                <w:bCs/>
                <w:color w:val="0F243E"/>
              </w:rPr>
              <w:t>Impuesto a la Salida de Divisas</w:t>
            </w:r>
          </w:p>
        </w:tc>
        <w:tc>
          <w:tcPr>
            <w:tcW w:w="1487" w:type="dxa"/>
            <w:tcBorders>
              <w:bottom w:val="single" w:sz="4" w:space="0" w:color="808080"/>
              <w:right w:val="single" w:sz="4" w:space="0" w:color="808080"/>
            </w:tcBorders>
            <w:shd w:val="clear" w:color="000000" w:fill="DCE6F1"/>
            <w:vAlign w:val="center"/>
          </w:tcPr>
          <w:p w:rsidR="006A4D59" w:rsidRPr="0067008A" w:rsidRDefault="00921711" w:rsidP="00125772">
            <w:pPr>
              <w:spacing w:after="240" w:line="360" w:lineRule="auto"/>
              <w:jc w:val="center"/>
              <w:rPr>
                <w:rFonts w:ascii="Times New Roman" w:eastAsia="Times New Roman" w:hAnsi="Times New Roman" w:cs="Times New Roman"/>
                <w:b/>
                <w:bCs/>
                <w:color w:val="0F243E"/>
              </w:rPr>
            </w:pPr>
            <w:r w:rsidRPr="0067008A">
              <w:rPr>
                <w:rFonts w:ascii="Times New Roman" w:eastAsia="Times New Roman" w:hAnsi="Times New Roman" w:cs="Times New Roman"/>
                <w:b/>
                <w:bCs/>
                <w:color w:val="0F243E"/>
              </w:rPr>
              <w:t xml:space="preserve">Total Recaudado </w:t>
            </w:r>
          </w:p>
        </w:tc>
      </w:tr>
      <w:tr w:rsidR="006A4D59" w:rsidRPr="0067008A" w:rsidTr="00125772">
        <w:trPr>
          <w:trHeight w:val="720"/>
        </w:trPr>
        <w:tc>
          <w:tcPr>
            <w:tcW w:w="177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125772">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CORPORACION MULTIBG S.A.</w:t>
            </w:r>
          </w:p>
        </w:tc>
        <w:tc>
          <w:tcPr>
            <w:tcW w:w="1378" w:type="dxa"/>
            <w:tcBorders>
              <w:bottom w:val="single" w:sz="4" w:space="0" w:color="808080"/>
              <w:right w:val="single" w:sz="4" w:space="0" w:color="808080"/>
            </w:tcBorders>
            <w:shd w:val="clear" w:color="auto" w:fill="auto"/>
            <w:vAlign w:val="center"/>
          </w:tcPr>
          <w:p w:rsidR="006A4D59" w:rsidRPr="0067008A" w:rsidRDefault="00921711" w:rsidP="00125772">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11.198.757,04</w:t>
            </w:r>
          </w:p>
        </w:tc>
        <w:tc>
          <w:tcPr>
            <w:tcW w:w="1487" w:type="dxa"/>
            <w:tcBorders>
              <w:bottom w:val="single" w:sz="4" w:space="0" w:color="808080"/>
              <w:right w:val="single" w:sz="4" w:space="0" w:color="808080"/>
            </w:tcBorders>
            <w:shd w:val="clear" w:color="auto" w:fill="auto"/>
            <w:vAlign w:val="center"/>
          </w:tcPr>
          <w:p w:rsidR="006A4D59" w:rsidRPr="0067008A" w:rsidRDefault="00921711" w:rsidP="00125772">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378.776.811,05</w:t>
            </w:r>
          </w:p>
        </w:tc>
        <w:tc>
          <w:tcPr>
            <w:tcW w:w="1649" w:type="dxa"/>
            <w:tcBorders>
              <w:bottom w:val="single" w:sz="4" w:space="0" w:color="808080"/>
              <w:right w:val="single" w:sz="4" w:space="0" w:color="808080"/>
            </w:tcBorders>
            <w:shd w:val="clear" w:color="auto" w:fill="auto"/>
            <w:vAlign w:val="center"/>
          </w:tcPr>
          <w:p w:rsidR="006A4D59" w:rsidRPr="0067008A" w:rsidRDefault="00921711" w:rsidP="00125772">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3.514.457.083,60 </w:t>
            </w:r>
          </w:p>
        </w:tc>
        <w:tc>
          <w:tcPr>
            <w:tcW w:w="1487" w:type="dxa"/>
            <w:tcBorders>
              <w:bottom w:val="single" w:sz="4" w:space="0" w:color="808080"/>
              <w:right w:val="single" w:sz="4" w:space="0" w:color="808080"/>
            </w:tcBorders>
            <w:shd w:val="clear" w:color="auto" w:fill="auto"/>
            <w:vAlign w:val="center"/>
          </w:tcPr>
          <w:p w:rsidR="006A4D59" w:rsidRPr="0067008A" w:rsidRDefault="00921711" w:rsidP="00125772">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358.337.663,46 </w:t>
            </w:r>
          </w:p>
        </w:tc>
        <w:tc>
          <w:tcPr>
            <w:tcW w:w="1270" w:type="dxa"/>
            <w:tcBorders>
              <w:bottom w:val="single" w:sz="4" w:space="0" w:color="808080"/>
              <w:right w:val="single" w:sz="4" w:space="0" w:color="808080"/>
            </w:tcBorders>
            <w:shd w:val="clear" w:color="auto" w:fill="auto"/>
            <w:vAlign w:val="center"/>
          </w:tcPr>
          <w:p w:rsidR="006A4D59" w:rsidRPr="0067008A" w:rsidRDefault="00921711" w:rsidP="00125772">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1.923.836,20</w:t>
            </w:r>
          </w:p>
        </w:tc>
        <w:tc>
          <w:tcPr>
            <w:tcW w:w="1108" w:type="dxa"/>
            <w:tcBorders>
              <w:bottom w:val="single" w:sz="4" w:space="0" w:color="808080"/>
              <w:right w:val="single" w:sz="4" w:space="0" w:color="808080"/>
            </w:tcBorders>
            <w:shd w:val="clear" w:color="auto" w:fill="auto"/>
            <w:vAlign w:val="center"/>
          </w:tcPr>
          <w:p w:rsidR="006A4D59" w:rsidRPr="0067008A" w:rsidRDefault="00921711" w:rsidP="00125772">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462.631,82</w:t>
            </w:r>
          </w:p>
        </w:tc>
        <w:tc>
          <w:tcPr>
            <w:tcW w:w="1487" w:type="dxa"/>
            <w:tcBorders>
              <w:bottom w:val="single" w:sz="4" w:space="0" w:color="808080"/>
              <w:right w:val="single" w:sz="4" w:space="0" w:color="808080"/>
            </w:tcBorders>
            <w:shd w:val="clear" w:color="auto" w:fill="auto"/>
            <w:vAlign w:val="center"/>
          </w:tcPr>
          <w:p w:rsidR="006A4D59" w:rsidRPr="0067008A" w:rsidRDefault="00921711" w:rsidP="00125772">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126.509.829,32</w:t>
            </w:r>
          </w:p>
        </w:tc>
      </w:tr>
      <w:tr w:rsidR="006A4D59" w:rsidRPr="0067008A" w:rsidTr="00125772">
        <w:trPr>
          <w:trHeight w:val="1200"/>
        </w:trPr>
        <w:tc>
          <w:tcPr>
            <w:tcW w:w="177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125772">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LASSO MENDOZA GUILLERMO ALBERTO SANTIAGO</w:t>
            </w:r>
          </w:p>
        </w:tc>
        <w:tc>
          <w:tcPr>
            <w:tcW w:w="1378" w:type="dxa"/>
            <w:tcBorders>
              <w:bottom w:val="single" w:sz="4" w:space="0" w:color="808080"/>
              <w:right w:val="single" w:sz="4" w:space="0" w:color="808080"/>
            </w:tcBorders>
            <w:shd w:val="clear" w:color="auto" w:fill="auto"/>
            <w:vAlign w:val="center"/>
          </w:tcPr>
          <w:p w:rsidR="006A4D59" w:rsidRPr="0067008A" w:rsidRDefault="00921711" w:rsidP="00125772">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0,00</w:t>
            </w:r>
          </w:p>
        </w:tc>
        <w:tc>
          <w:tcPr>
            <w:tcW w:w="1487" w:type="dxa"/>
            <w:tcBorders>
              <w:bottom w:val="single" w:sz="4" w:space="0" w:color="808080"/>
              <w:right w:val="single" w:sz="4" w:space="0" w:color="808080"/>
            </w:tcBorders>
            <w:shd w:val="clear" w:color="auto" w:fill="auto"/>
            <w:vAlign w:val="center"/>
          </w:tcPr>
          <w:p w:rsidR="006A4D59" w:rsidRPr="0067008A" w:rsidRDefault="00921711" w:rsidP="00125772">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10.016.576,69</w:t>
            </w:r>
          </w:p>
        </w:tc>
        <w:tc>
          <w:tcPr>
            <w:tcW w:w="1649" w:type="dxa"/>
            <w:tcBorders>
              <w:bottom w:val="single" w:sz="4" w:space="0" w:color="808080"/>
              <w:right w:val="single" w:sz="4" w:space="0" w:color="808080"/>
            </w:tcBorders>
            <w:shd w:val="clear" w:color="auto" w:fill="auto"/>
            <w:vAlign w:val="center"/>
          </w:tcPr>
          <w:p w:rsidR="006A4D59" w:rsidRPr="0067008A" w:rsidRDefault="00921711" w:rsidP="00125772">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142.732.445,67 </w:t>
            </w:r>
          </w:p>
        </w:tc>
        <w:tc>
          <w:tcPr>
            <w:tcW w:w="1487" w:type="dxa"/>
            <w:tcBorders>
              <w:bottom w:val="single" w:sz="4" w:space="0" w:color="808080"/>
              <w:right w:val="single" w:sz="4" w:space="0" w:color="808080"/>
            </w:tcBorders>
            <w:shd w:val="clear" w:color="auto" w:fill="auto"/>
            <w:vAlign w:val="center"/>
          </w:tcPr>
          <w:p w:rsidR="006A4D59" w:rsidRPr="0067008A" w:rsidRDefault="00921711" w:rsidP="00125772">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142.727.347,08 </w:t>
            </w:r>
          </w:p>
        </w:tc>
        <w:tc>
          <w:tcPr>
            <w:tcW w:w="1270" w:type="dxa"/>
            <w:tcBorders>
              <w:bottom w:val="single" w:sz="4" w:space="0" w:color="808080"/>
              <w:right w:val="single" w:sz="4" w:space="0" w:color="808080"/>
            </w:tcBorders>
            <w:shd w:val="clear" w:color="auto" w:fill="auto"/>
            <w:vAlign w:val="center"/>
          </w:tcPr>
          <w:p w:rsidR="006A4D59" w:rsidRPr="0067008A" w:rsidRDefault="00921711" w:rsidP="00125772">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 </w:t>
            </w:r>
          </w:p>
        </w:tc>
        <w:tc>
          <w:tcPr>
            <w:tcW w:w="1108" w:type="dxa"/>
            <w:tcBorders>
              <w:bottom w:val="single" w:sz="4" w:space="0" w:color="808080"/>
              <w:right w:val="single" w:sz="4" w:space="0" w:color="808080"/>
            </w:tcBorders>
            <w:shd w:val="clear" w:color="auto" w:fill="auto"/>
            <w:vAlign w:val="center"/>
          </w:tcPr>
          <w:p w:rsidR="006A4D59" w:rsidRPr="0067008A" w:rsidRDefault="00921711" w:rsidP="00125772">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0,00</w:t>
            </w:r>
          </w:p>
        </w:tc>
        <w:tc>
          <w:tcPr>
            <w:tcW w:w="1487" w:type="dxa"/>
            <w:tcBorders>
              <w:bottom w:val="single" w:sz="4" w:space="0" w:color="808080"/>
              <w:right w:val="single" w:sz="4" w:space="0" w:color="808080"/>
            </w:tcBorders>
            <w:shd w:val="clear" w:color="auto" w:fill="auto"/>
            <w:vAlign w:val="center"/>
          </w:tcPr>
          <w:p w:rsidR="006A4D59" w:rsidRPr="0067008A" w:rsidRDefault="00921711" w:rsidP="00125772">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15.473,69</w:t>
            </w:r>
          </w:p>
        </w:tc>
      </w:tr>
      <w:tr w:rsidR="006A4D59" w:rsidRPr="0067008A" w:rsidTr="00125772">
        <w:trPr>
          <w:trHeight w:val="500"/>
        </w:trPr>
        <w:tc>
          <w:tcPr>
            <w:tcW w:w="1775" w:type="dxa"/>
            <w:tcBorders>
              <w:left w:val="single" w:sz="4" w:space="0" w:color="808080"/>
              <w:bottom w:val="single" w:sz="8" w:space="0" w:color="808080"/>
              <w:right w:val="single" w:sz="4" w:space="0" w:color="808080"/>
            </w:tcBorders>
            <w:shd w:val="clear" w:color="auto" w:fill="auto"/>
            <w:vAlign w:val="center"/>
          </w:tcPr>
          <w:p w:rsidR="006A4D59" w:rsidRPr="0067008A" w:rsidRDefault="00921711" w:rsidP="00125772">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PROMOQUIL S.A.</w:t>
            </w:r>
          </w:p>
        </w:tc>
        <w:tc>
          <w:tcPr>
            <w:tcW w:w="1378" w:type="dxa"/>
            <w:tcBorders>
              <w:bottom w:val="single" w:sz="4" w:space="0" w:color="808080"/>
              <w:right w:val="single" w:sz="4" w:space="0" w:color="808080"/>
            </w:tcBorders>
            <w:shd w:val="clear" w:color="auto" w:fill="auto"/>
            <w:vAlign w:val="center"/>
          </w:tcPr>
          <w:p w:rsidR="006A4D59" w:rsidRPr="0067008A" w:rsidRDefault="00921711" w:rsidP="00125772">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2.041.323,29</w:t>
            </w:r>
          </w:p>
        </w:tc>
        <w:tc>
          <w:tcPr>
            <w:tcW w:w="1487" w:type="dxa"/>
            <w:tcBorders>
              <w:bottom w:val="single" w:sz="4" w:space="0" w:color="808080"/>
              <w:right w:val="single" w:sz="4" w:space="0" w:color="808080"/>
            </w:tcBorders>
            <w:shd w:val="clear" w:color="auto" w:fill="auto"/>
            <w:vAlign w:val="center"/>
          </w:tcPr>
          <w:p w:rsidR="006A4D59" w:rsidRPr="0067008A" w:rsidRDefault="00921711" w:rsidP="00125772">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5.878.110,84</w:t>
            </w:r>
          </w:p>
        </w:tc>
        <w:tc>
          <w:tcPr>
            <w:tcW w:w="1649" w:type="dxa"/>
            <w:tcBorders>
              <w:bottom w:val="single" w:sz="4" w:space="0" w:color="808080"/>
              <w:right w:val="single" w:sz="4" w:space="0" w:color="808080"/>
            </w:tcBorders>
            <w:shd w:val="clear" w:color="auto" w:fill="auto"/>
            <w:vAlign w:val="center"/>
          </w:tcPr>
          <w:p w:rsidR="006A4D59" w:rsidRPr="0067008A" w:rsidRDefault="00921711" w:rsidP="00125772">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487" w:type="dxa"/>
            <w:tcBorders>
              <w:bottom w:val="single" w:sz="4" w:space="0" w:color="808080"/>
              <w:right w:val="single" w:sz="4" w:space="0" w:color="808080"/>
            </w:tcBorders>
            <w:shd w:val="clear" w:color="auto" w:fill="auto"/>
            <w:vAlign w:val="center"/>
          </w:tcPr>
          <w:p w:rsidR="006A4D59" w:rsidRPr="0067008A" w:rsidRDefault="00921711" w:rsidP="00125772">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0" w:type="dxa"/>
            <w:tcBorders>
              <w:bottom w:val="single" w:sz="4" w:space="0" w:color="808080"/>
              <w:right w:val="single" w:sz="4" w:space="0" w:color="808080"/>
            </w:tcBorders>
            <w:shd w:val="clear" w:color="auto" w:fill="auto"/>
            <w:vAlign w:val="center"/>
          </w:tcPr>
          <w:p w:rsidR="006A4D59" w:rsidRPr="0067008A" w:rsidRDefault="00921711" w:rsidP="00125772">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 </w:t>
            </w:r>
          </w:p>
        </w:tc>
        <w:tc>
          <w:tcPr>
            <w:tcW w:w="1108" w:type="dxa"/>
            <w:tcBorders>
              <w:bottom w:val="single" w:sz="4" w:space="0" w:color="808080"/>
              <w:right w:val="single" w:sz="4" w:space="0" w:color="808080"/>
            </w:tcBorders>
            <w:shd w:val="clear" w:color="auto" w:fill="auto"/>
            <w:vAlign w:val="center"/>
          </w:tcPr>
          <w:p w:rsidR="006A4D59" w:rsidRPr="0067008A" w:rsidRDefault="00921711" w:rsidP="00125772">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4.335,32</w:t>
            </w:r>
          </w:p>
        </w:tc>
        <w:tc>
          <w:tcPr>
            <w:tcW w:w="1487" w:type="dxa"/>
            <w:tcBorders>
              <w:bottom w:val="single" w:sz="4" w:space="0" w:color="808080"/>
              <w:right w:val="single" w:sz="4" w:space="0" w:color="808080"/>
            </w:tcBorders>
            <w:shd w:val="clear" w:color="auto" w:fill="auto"/>
            <w:vAlign w:val="center"/>
          </w:tcPr>
          <w:p w:rsidR="006A4D59" w:rsidRPr="0067008A" w:rsidRDefault="00921711" w:rsidP="00125772">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 </w:t>
            </w:r>
          </w:p>
        </w:tc>
      </w:tr>
      <w:tr w:rsidR="006A4D59" w:rsidRPr="0067008A" w:rsidTr="00125772">
        <w:trPr>
          <w:trHeight w:val="320"/>
        </w:trPr>
        <w:tc>
          <w:tcPr>
            <w:tcW w:w="1775" w:type="dxa"/>
            <w:tcBorders>
              <w:left w:val="single" w:sz="4" w:space="0" w:color="808080"/>
              <w:bottom w:val="single" w:sz="8" w:space="0" w:color="808080"/>
              <w:right w:val="single" w:sz="4" w:space="0" w:color="808080"/>
            </w:tcBorders>
            <w:shd w:val="clear" w:color="auto" w:fill="auto"/>
            <w:vAlign w:val="center"/>
          </w:tcPr>
          <w:p w:rsidR="006A4D59" w:rsidRPr="0067008A" w:rsidRDefault="00921711" w:rsidP="00125772">
            <w:pPr>
              <w:spacing w:after="240" w:line="360" w:lineRule="auto"/>
              <w:jc w:val="center"/>
              <w:rPr>
                <w:rFonts w:ascii="Times New Roman" w:eastAsia="Times New Roman" w:hAnsi="Times New Roman" w:cs="Times New Roman"/>
                <w:b/>
                <w:bCs/>
              </w:rPr>
            </w:pPr>
            <w:r w:rsidRPr="0067008A">
              <w:rPr>
                <w:rFonts w:ascii="Times New Roman" w:eastAsia="Times New Roman" w:hAnsi="Times New Roman" w:cs="Times New Roman"/>
                <w:b/>
                <w:bCs/>
              </w:rPr>
              <w:t>4</w:t>
            </w:r>
          </w:p>
        </w:tc>
        <w:tc>
          <w:tcPr>
            <w:tcW w:w="1378" w:type="dxa"/>
            <w:tcBorders>
              <w:bottom w:val="single" w:sz="8" w:space="0" w:color="808080"/>
              <w:right w:val="single" w:sz="4" w:space="0" w:color="808080"/>
            </w:tcBorders>
            <w:shd w:val="clear" w:color="auto" w:fill="auto"/>
            <w:vAlign w:val="center"/>
          </w:tcPr>
          <w:p w:rsidR="006A4D59" w:rsidRPr="0067008A" w:rsidRDefault="00921711" w:rsidP="00125772">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0,00</w:t>
            </w:r>
          </w:p>
        </w:tc>
        <w:tc>
          <w:tcPr>
            <w:tcW w:w="1487" w:type="dxa"/>
            <w:tcBorders>
              <w:bottom w:val="single" w:sz="8" w:space="0" w:color="808080"/>
              <w:right w:val="single" w:sz="4" w:space="0" w:color="808080"/>
            </w:tcBorders>
            <w:shd w:val="clear" w:color="auto" w:fill="auto"/>
            <w:vAlign w:val="center"/>
          </w:tcPr>
          <w:p w:rsidR="006A4D59" w:rsidRPr="0067008A" w:rsidRDefault="00921711" w:rsidP="00125772">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984.351,25</w:t>
            </w:r>
          </w:p>
        </w:tc>
        <w:tc>
          <w:tcPr>
            <w:tcW w:w="1649" w:type="dxa"/>
            <w:tcBorders>
              <w:bottom w:val="single" w:sz="8" w:space="0" w:color="808080"/>
              <w:right w:val="single" w:sz="4" w:space="0" w:color="808080"/>
            </w:tcBorders>
            <w:shd w:val="clear" w:color="auto" w:fill="auto"/>
            <w:vAlign w:val="center"/>
          </w:tcPr>
          <w:p w:rsidR="006A4D59" w:rsidRPr="0067008A" w:rsidRDefault="00921711" w:rsidP="00125772">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15.091.940,50 </w:t>
            </w:r>
          </w:p>
        </w:tc>
        <w:tc>
          <w:tcPr>
            <w:tcW w:w="1487" w:type="dxa"/>
            <w:tcBorders>
              <w:bottom w:val="single" w:sz="8" w:space="0" w:color="808080"/>
              <w:right w:val="single" w:sz="4" w:space="0" w:color="808080"/>
            </w:tcBorders>
            <w:shd w:val="clear" w:color="auto" w:fill="auto"/>
            <w:vAlign w:val="center"/>
          </w:tcPr>
          <w:p w:rsidR="006A4D59" w:rsidRPr="0067008A" w:rsidRDefault="00921711" w:rsidP="00125772">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15.091.940,50 </w:t>
            </w:r>
          </w:p>
        </w:tc>
        <w:tc>
          <w:tcPr>
            <w:tcW w:w="1270" w:type="dxa"/>
            <w:tcBorders>
              <w:bottom w:val="single" w:sz="8" w:space="0" w:color="808080"/>
              <w:right w:val="single" w:sz="4" w:space="0" w:color="808080"/>
            </w:tcBorders>
            <w:shd w:val="clear" w:color="auto" w:fill="auto"/>
            <w:vAlign w:val="center"/>
          </w:tcPr>
          <w:p w:rsidR="006A4D59" w:rsidRPr="0067008A" w:rsidRDefault="00921711" w:rsidP="00125772">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 </w:t>
            </w:r>
          </w:p>
        </w:tc>
        <w:tc>
          <w:tcPr>
            <w:tcW w:w="1108" w:type="dxa"/>
            <w:tcBorders>
              <w:bottom w:val="single" w:sz="8" w:space="0" w:color="808080"/>
              <w:right w:val="single" w:sz="4" w:space="0" w:color="808080"/>
            </w:tcBorders>
            <w:shd w:val="clear" w:color="auto" w:fill="auto"/>
            <w:vAlign w:val="center"/>
          </w:tcPr>
          <w:p w:rsidR="006A4D59" w:rsidRPr="0067008A" w:rsidRDefault="00921711" w:rsidP="00125772">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0,00</w:t>
            </w:r>
          </w:p>
        </w:tc>
        <w:tc>
          <w:tcPr>
            <w:tcW w:w="1487" w:type="dxa"/>
            <w:tcBorders>
              <w:bottom w:val="single" w:sz="8" w:space="0" w:color="808080"/>
              <w:right w:val="single" w:sz="4" w:space="0" w:color="808080"/>
            </w:tcBorders>
            <w:shd w:val="clear" w:color="auto" w:fill="auto"/>
            <w:vAlign w:val="center"/>
          </w:tcPr>
          <w:p w:rsidR="006A4D59" w:rsidRPr="0067008A" w:rsidRDefault="00921711" w:rsidP="00125772">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700,49</w:t>
            </w:r>
          </w:p>
        </w:tc>
      </w:tr>
      <w:tr w:rsidR="006A4D59" w:rsidRPr="0067008A" w:rsidTr="00125772">
        <w:trPr>
          <w:trHeight w:val="320"/>
        </w:trPr>
        <w:tc>
          <w:tcPr>
            <w:tcW w:w="1775" w:type="dxa"/>
            <w:tcBorders>
              <w:top w:val="single" w:sz="8" w:space="0" w:color="808080"/>
              <w:left w:val="single" w:sz="4" w:space="0" w:color="808080"/>
              <w:bottom w:val="single" w:sz="4" w:space="0" w:color="000000"/>
              <w:right w:val="single" w:sz="4" w:space="0" w:color="808080"/>
            </w:tcBorders>
            <w:shd w:val="clear" w:color="auto" w:fill="auto"/>
            <w:vAlign w:val="center"/>
          </w:tcPr>
          <w:p w:rsidR="006A4D59" w:rsidRPr="0067008A" w:rsidRDefault="00921711" w:rsidP="00125772">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TOTAL</w:t>
            </w:r>
          </w:p>
        </w:tc>
        <w:tc>
          <w:tcPr>
            <w:tcW w:w="1378" w:type="dxa"/>
            <w:tcBorders>
              <w:top w:val="single" w:sz="8" w:space="0" w:color="808080"/>
              <w:bottom w:val="single" w:sz="4" w:space="0" w:color="000000"/>
              <w:right w:val="single" w:sz="4" w:space="0" w:color="808080"/>
            </w:tcBorders>
            <w:shd w:val="clear" w:color="auto" w:fill="auto"/>
            <w:vAlign w:val="center"/>
          </w:tcPr>
          <w:p w:rsidR="006A4D59" w:rsidRPr="0067008A" w:rsidRDefault="00921711" w:rsidP="00125772">
            <w:pPr>
              <w:spacing w:after="240" w:line="360" w:lineRule="auto"/>
              <w:jc w:val="right"/>
              <w:rPr>
                <w:rFonts w:ascii="Times New Roman" w:eastAsia="Times New Roman" w:hAnsi="Times New Roman" w:cs="Times New Roman"/>
                <w:b/>
                <w:bCs/>
              </w:rPr>
            </w:pPr>
            <w:r w:rsidRPr="0067008A">
              <w:rPr>
                <w:rFonts w:ascii="Times New Roman" w:eastAsia="Times New Roman" w:hAnsi="Times New Roman" w:cs="Times New Roman"/>
                <w:b/>
                <w:bCs/>
              </w:rPr>
              <w:t>13.240.080,33</w:t>
            </w:r>
          </w:p>
        </w:tc>
        <w:tc>
          <w:tcPr>
            <w:tcW w:w="1487" w:type="dxa"/>
            <w:tcBorders>
              <w:bottom w:val="single" w:sz="8" w:space="0" w:color="808080"/>
              <w:right w:val="single" w:sz="4" w:space="0" w:color="808080"/>
            </w:tcBorders>
            <w:shd w:val="clear" w:color="auto" w:fill="auto"/>
            <w:vAlign w:val="center"/>
          </w:tcPr>
          <w:p w:rsidR="006A4D59" w:rsidRPr="0067008A" w:rsidRDefault="00921711" w:rsidP="00125772">
            <w:pPr>
              <w:spacing w:after="240" w:line="360" w:lineRule="auto"/>
              <w:jc w:val="right"/>
              <w:rPr>
                <w:rFonts w:ascii="Times New Roman" w:eastAsia="Times New Roman" w:hAnsi="Times New Roman" w:cs="Times New Roman"/>
                <w:b/>
                <w:bCs/>
              </w:rPr>
            </w:pPr>
            <w:r w:rsidRPr="0067008A">
              <w:rPr>
                <w:rFonts w:ascii="Times New Roman" w:eastAsia="Times New Roman" w:hAnsi="Times New Roman" w:cs="Times New Roman"/>
                <w:b/>
                <w:bCs/>
              </w:rPr>
              <w:t>395.655.849,83</w:t>
            </w:r>
          </w:p>
        </w:tc>
        <w:tc>
          <w:tcPr>
            <w:tcW w:w="1649" w:type="dxa"/>
            <w:tcBorders>
              <w:bottom w:val="single" w:sz="8" w:space="0" w:color="808080"/>
              <w:right w:val="single" w:sz="8" w:space="0" w:color="808080"/>
            </w:tcBorders>
            <w:shd w:val="clear" w:color="auto" w:fill="auto"/>
            <w:vAlign w:val="center"/>
          </w:tcPr>
          <w:p w:rsidR="006A4D59" w:rsidRPr="0067008A" w:rsidRDefault="00921711" w:rsidP="00125772">
            <w:pPr>
              <w:spacing w:after="240" w:line="360" w:lineRule="auto"/>
              <w:jc w:val="right"/>
              <w:rPr>
                <w:rFonts w:ascii="Times New Roman" w:eastAsia="Times New Roman" w:hAnsi="Times New Roman" w:cs="Times New Roman"/>
                <w:b/>
                <w:bCs/>
              </w:rPr>
            </w:pPr>
            <w:r w:rsidRPr="0067008A">
              <w:rPr>
                <w:rFonts w:ascii="Times New Roman" w:eastAsia="Times New Roman" w:hAnsi="Times New Roman" w:cs="Times New Roman"/>
                <w:b/>
                <w:bCs/>
              </w:rPr>
              <w:t>3.672.281.469,77</w:t>
            </w:r>
          </w:p>
        </w:tc>
        <w:tc>
          <w:tcPr>
            <w:tcW w:w="1487" w:type="dxa"/>
            <w:tcBorders>
              <w:left w:val="single" w:sz="4" w:space="0" w:color="808080"/>
              <w:bottom w:val="single" w:sz="8" w:space="0" w:color="808080"/>
              <w:right w:val="single" w:sz="8" w:space="0" w:color="808080"/>
            </w:tcBorders>
            <w:shd w:val="clear" w:color="auto" w:fill="auto"/>
            <w:vAlign w:val="center"/>
          </w:tcPr>
          <w:p w:rsidR="006A4D59" w:rsidRPr="0067008A" w:rsidRDefault="00921711" w:rsidP="00125772">
            <w:pPr>
              <w:spacing w:after="240" w:line="360" w:lineRule="auto"/>
              <w:jc w:val="right"/>
              <w:rPr>
                <w:rFonts w:ascii="Times New Roman" w:eastAsia="Times New Roman" w:hAnsi="Times New Roman" w:cs="Times New Roman"/>
                <w:b/>
                <w:bCs/>
              </w:rPr>
            </w:pPr>
            <w:r w:rsidRPr="0067008A">
              <w:rPr>
                <w:rFonts w:ascii="Times New Roman" w:eastAsia="Times New Roman" w:hAnsi="Times New Roman" w:cs="Times New Roman"/>
                <w:b/>
                <w:bCs/>
              </w:rPr>
              <w:t>516.156.951,04</w:t>
            </w:r>
          </w:p>
        </w:tc>
        <w:tc>
          <w:tcPr>
            <w:tcW w:w="1270" w:type="dxa"/>
            <w:tcBorders>
              <w:left w:val="single" w:sz="4" w:space="0" w:color="808080"/>
              <w:bottom w:val="single" w:sz="8" w:space="0" w:color="808080"/>
              <w:right w:val="single" w:sz="4" w:space="0" w:color="808080"/>
            </w:tcBorders>
            <w:shd w:val="clear" w:color="auto" w:fill="auto"/>
            <w:vAlign w:val="center"/>
          </w:tcPr>
          <w:p w:rsidR="006A4D59" w:rsidRPr="0067008A" w:rsidRDefault="00921711" w:rsidP="00125772">
            <w:pPr>
              <w:spacing w:after="240" w:line="360" w:lineRule="auto"/>
              <w:jc w:val="right"/>
              <w:rPr>
                <w:rFonts w:ascii="Times New Roman" w:eastAsia="Times New Roman" w:hAnsi="Times New Roman" w:cs="Times New Roman"/>
                <w:b/>
                <w:bCs/>
              </w:rPr>
            </w:pPr>
            <w:r w:rsidRPr="0067008A">
              <w:rPr>
                <w:rFonts w:ascii="Times New Roman" w:eastAsia="Times New Roman" w:hAnsi="Times New Roman" w:cs="Times New Roman"/>
                <w:b/>
                <w:bCs/>
              </w:rPr>
              <w:t>1.923.836,20</w:t>
            </w:r>
          </w:p>
        </w:tc>
        <w:tc>
          <w:tcPr>
            <w:tcW w:w="1108" w:type="dxa"/>
            <w:tcBorders>
              <w:bottom w:val="single" w:sz="8" w:space="0" w:color="808080"/>
              <w:right w:val="single" w:sz="4" w:space="0" w:color="808080"/>
            </w:tcBorders>
            <w:shd w:val="clear" w:color="auto" w:fill="auto"/>
            <w:vAlign w:val="center"/>
          </w:tcPr>
          <w:p w:rsidR="006A4D59" w:rsidRPr="0067008A" w:rsidRDefault="00921711" w:rsidP="00125772">
            <w:pPr>
              <w:spacing w:after="240" w:line="360" w:lineRule="auto"/>
              <w:jc w:val="right"/>
              <w:rPr>
                <w:rFonts w:ascii="Times New Roman" w:eastAsia="Times New Roman" w:hAnsi="Times New Roman" w:cs="Times New Roman"/>
                <w:b/>
                <w:bCs/>
              </w:rPr>
            </w:pPr>
            <w:r w:rsidRPr="0067008A">
              <w:rPr>
                <w:rFonts w:ascii="Times New Roman" w:eastAsia="Times New Roman" w:hAnsi="Times New Roman" w:cs="Times New Roman"/>
                <w:b/>
                <w:bCs/>
              </w:rPr>
              <w:t>466.967,14</w:t>
            </w:r>
          </w:p>
        </w:tc>
        <w:tc>
          <w:tcPr>
            <w:tcW w:w="1487" w:type="dxa"/>
            <w:tcBorders>
              <w:bottom w:val="single" w:sz="8" w:space="0" w:color="808080"/>
              <w:right w:val="single" w:sz="8" w:space="0" w:color="808080"/>
            </w:tcBorders>
            <w:shd w:val="clear" w:color="auto" w:fill="auto"/>
            <w:vAlign w:val="center"/>
          </w:tcPr>
          <w:p w:rsidR="006A4D59" w:rsidRPr="0067008A" w:rsidRDefault="00921711" w:rsidP="00125772">
            <w:pPr>
              <w:spacing w:after="240" w:line="360" w:lineRule="auto"/>
              <w:jc w:val="right"/>
              <w:rPr>
                <w:rFonts w:ascii="Times New Roman" w:eastAsia="Times New Roman" w:hAnsi="Times New Roman" w:cs="Times New Roman"/>
                <w:b/>
                <w:bCs/>
              </w:rPr>
            </w:pPr>
            <w:r w:rsidRPr="0067008A">
              <w:rPr>
                <w:rFonts w:ascii="Times New Roman" w:eastAsia="Times New Roman" w:hAnsi="Times New Roman" w:cs="Times New Roman"/>
                <w:b/>
                <w:bCs/>
              </w:rPr>
              <w:t>126.526.003,50</w:t>
            </w:r>
          </w:p>
        </w:tc>
      </w:tr>
    </w:tbl>
    <w:p w:rsidR="006A4D59" w:rsidRPr="0067008A" w:rsidRDefault="00921711" w:rsidP="002E7BE5">
      <w:pPr>
        <w:spacing w:after="240" w:line="360" w:lineRule="auto"/>
        <w:rPr>
          <w:rFonts w:ascii="Times New Roman" w:hAnsi="Times New Roman" w:cs="Times New Roman"/>
        </w:rPr>
      </w:pPr>
      <w:r w:rsidRPr="0067008A">
        <w:rPr>
          <w:rFonts w:ascii="Times New Roman" w:hAnsi="Times New Roman" w:cs="Times New Roman"/>
        </w:rPr>
        <w:t>Fuente: (SRI 2021)</w:t>
      </w:r>
    </w:p>
    <w:p w:rsidR="006A4D59" w:rsidRPr="0067008A" w:rsidRDefault="00921711" w:rsidP="002E7BE5">
      <w:pPr>
        <w:spacing w:after="240" w:line="360" w:lineRule="auto"/>
        <w:jc w:val="both"/>
        <w:rPr>
          <w:rFonts w:ascii="Times New Roman" w:hAnsi="Times New Roman" w:cs="Times New Roman"/>
        </w:rPr>
      </w:pPr>
      <w:r w:rsidRPr="0067008A">
        <w:rPr>
          <w:rFonts w:ascii="Times New Roman" w:hAnsi="Times New Roman" w:cs="Times New Roman"/>
        </w:rPr>
        <w:t xml:space="preserve">La misma situación puede observarse para el año 2014. El grupo no presenta ninguna información sobre el conjunto de sus actividades económicas. </w:t>
      </w:r>
    </w:p>
    <w:p w:rsidR="006A4D59" w:rsidRPr="0067008A" w:rsidRDefault="00921711" w:rsidP="00677E33">
      <w:pPr>
        <w:pStyle w:val="Descripcin"/>
        <w:spacing w:after="240" w:line="360" w:lineRule="auto"/>
        <w:rPr>
          <w:rFonts w:ascii="Times New Roman" w:hAnsi="Times New Roman" w:cs="Times New Roman"/>
          <w:sz w:val="22"/>
          <w:szCs w:val="22"/>
        </w:rPr>
      </w:pPr>
      <w:r w:rsidRPr="0067008A">
        <w:rPr>
          <w:rFonts w:ascii="Times New Roman" w:hAnsi="Times New Roman" w:cs="Times New Roman"/>
          <w:sz w:val="22"/>
          <w:szCs w:val="22"/>
        </w:rPr>
        <w:t xml:space="preserve">Tabla </w:t>
      </w:r>
      <w:r w:rsidRPr="0067008A">
        <w:rPr>
          <w:rFonts w:ascii="Times New Roman" w:hAnsi="Times New Roman" w:cs="Times New Roman"/>
          <w:sz w:val="22"/>
          <w:szCs w:val="22"/>
        </w:rPr>
        <w:fldChar w:fldCharType="begin"/>
      </w:r>
      <w:r w:rsidRPr="0067008A">
        <w:rPr>
          <w:rFonts w:ascii="Times New Roman" w:hAnsi="Times New Roman" w:cs="Times New Roman"/>
          <w:sz w:val="22"/>
          <w:szCs w:val="22"/>
        </w:rPr>
        <w:instrText>SEQ Tabla \* ARABIC</w:instrText>
      </w:r>
      <w:r w:rsidRPr="0067008A">
        <w:rPr>
          <w:rFonts w:ascii="Times New Roman" w:hAnsi="Times New Roman" w:cs="Times New Roman"/>
          <w:sz w:val="22"/>
          <w:szCs w:val="22"/>
        </w:rPr>
        <w:fldChar w:fldCharType="separate"/>
      </w:r>
      <w:r w:rsidR="0029216E" w:rsidRPr="0067008A">
        <w:rPr>
          <w:rFonts w:ascii="Times New Roman" w:hAnsi="Times New Roman" w:cs="Times New Roman"/>
          <w:noProof/>
          <w:sz w:val="22"/>
          <w:szCs w:val="22"/>
        </w:rPr>
        <w:t>8</w:t>
      </w:r>
      <w:r w:rsidRPr="0067008A">
        <w:rPr>
          <w:rFonts w:ascii="Times New Roman" w:hAnsi="Times New Roman" w:cs="Times New Roman"/>
          <w:sz w:val="22"/>
          <w:szCs w:val="22"/>
        </w:rPr>
        <w:fldChar w:fldCharType="end"/>
      </w:r>
      <w:r w:rsidRPr="0067008A">
        <w:rPr>
          <w:rFonts w:ascii="Times New Roman" w:hAnsi="Times New Roman" w:cs="Times New Roman"/>
          <w:sz w:val="22"/>
          <w:szCs w:val="22"/>
        </w:rPr>
        <w:t xml:space="preserve"> Ingresos e impuestos causados grupo Banco de Guayaquil, año 2014, en USD</w:t>
      </w:r>
    </w:p>
    <w:tbl>
      <w:tblPr>
        <w:tblW w:w="8964" w:type="dxa"/>
        <w:tblInd w:w="55" w:type="dxa"/>
        <w:tblBorders>
          <w:bottom w:val="single" w:sz="8" w:space="0" w:color="808080"/>
          <w:insideH w:val="single" w:sz="8" w:space="0" w:color="808080"/>
        </w:tblBorders>
        <w:tblCellMar>
          <w:left w:w="70" w:type="dxa"/>
          <w:right w:w="70" w:type="dxa"/>
        </w:tblCellMar>
        <w:tblLook w:val="04A0" w:firstRow="1" w:lastRow="0" w:firstColumn="1" w:lastColumn="0" w:noHBand="0" w:noVBand="1"/>
      </w:tblPr>
      <w:tblGrid>
        <w:gridCol w:w="1717"/>
        <w:gridCol w:w="1405"/>
        <w:gridCol w:w="1515"/>
        <w:gridCol w:w="1680"/>
        <w:gridCol w:w="1515"/>
        <w:gridCol w:w="1295"/>
        <w:gridCol w:w="1130"/>
        <w:gridCol w:w="1515"/>
      </w:tblGrid>
      <w:tr w:rsidR="006A4D59" w:rsidRPr="0067008A">
        <w:trPr>
          <w:trHeight w:val="320"/>
        </w:trPr>
        <w:tc>
          <w:tcPr>
            <w:tcW w:w="1293" w:type="dxa"/>
            <w:tcBorders>
              <w:bottom w:val="single" w:sz="8" w:space="0" w:color="808080"/>
            </w:tcBorders>
            <w:shd w:val="clear" w:color="auto" w:fill="auto"/>
            <w:vAlign w:val="center"/>
          </w:tcPr>
          <w:p w:rsidR="006A4D59" w:rsidRPr="0067008A" w:rsidRDefault="006A4D59" w:rsidP="00677E33">
            <w:pPr>
              <w:spacing w:after="240" w:line="360" w:lineRule="auto"/>
              <w:rPr>
                <w:rFonts w:ascii="Times New Roman" w:eastAsia="Times New Roman" w:hAnsi="Times New Roman" w:cs="Times New Roman"/>
              </w:rPr>
            </w:pPr>
          </w:p>
        </w:tc>
        <w:tc>
          <w:tcPr>
            <w:tcW w:w="7670" w:type="dxa"/>
            <w:gridSpan w:val="7"/>
            <w:tcBorders>
              <w:top w:val="single" w:sz="8" w:space="0" w:color="808080"/>
              <w:left w:val="single" w:sz="8" w:space="0" w:color="808080"/>
              <w:bottom w:val="single" w:sz="8" w:space="0" w:color="808080"/>
              <w:right w:val="single" w:sz="8" w:space="0" w:color="808080"/>
            </w:tcBorders>
            <w:shd w:val="clear" w:color="000000" w:fill="D9D9D9"/>
            <w:vAlign w:val="center"/>
          </w:tcPr>
          <w:p w:rsidR="006A4D59" w:rsidRPr="0067008A" w:rsidRDefault="00921711" w:rsidP="00677E33">
            <w:pPr>
              <w:spacing w:after="240" w:line="360" w:lineRule="auto"/>
              <w:jc w:val="center"/>
              <w:rPr>
                <w:rFonts w:ascii="Times New Roman" w:eastAsia="Times New Roman" w:hAnsi="Times New Roman" w:cs="Times New Roman"/>
                <w:b/>
                <w:bCs/>
              </w:rPr>
            </w:pPr>
            <w:r w:rsidRPr="0067008A">
              <w:rPr>
                <w:rFonts w:ascii="Times New Roman" w:eastAsia="Times New Roman" w:hAnsi="Times New Roman" w:cs="Times New Roman"/>
                <w:b/>
                <w:bCs/>
              </w:rPr>
              <w:t>2014</w:t>
            </w:r>
          </w:p>
        </w:tc>
      </w:tr>
      <w:tr w:rsidR="006A4D59" w:rsidRPr="0067008A">
        <w:trPr>
          <w:trHeight w:val="960"/>
        </w:trPr>
        <w:tc>
          <w:tcPr>
            <w:tcW w:w="1293" w:type="dxa"/>
            <w:tcBorders>
              <w:top w:val="single" w:sz="8" w:space="0" w:color="808080"/>
              <w:left w:val="single" w:sz="4" w:space="0" w:color="000000"/>
              <w:bottom w:val="single" w:sz="4" w:space="0" w:color="808080"/>
              <w:right w:val="single" w:sz="4" w:space="0" w:color="808080"/>
            </w:tcBorders>
            <w:shd w:val="clear" w:color="000000" w:fill="DCE6F1"/>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0F243E"/>
              </w:rPr>
            </w:pPr>
            <w:r w:rsidRPr="0067008A">
              <w:rPr>
                <w:rFonts w:ascii="Times New Roman" w:eastAsia="Times New Roman" w:hAnsi="Times New Roman" w:cs="Times New Roman"/>
                <w:b/>
                <w:bCs/>
                <w:color w:val="0F243E"/>
              </w:rPr>
              <w:t>Razón Social Integrante</w:t>
            </w:r>
          </w:p>
        </w:tc>
        <w:tc>
          <w:tcPr>
            <w:tcW w:w="1063" w:type="dxa"/>
            <w:tcBorders>
              <w:bottom w:val="single" w:sz="4" w:space="0" w:color="808080"/>
              <w:right w:val="single" w:sz="4" w:space="0" w:color="808080"/>
            </w:tcBorders>
            <w:shd w:val="clear" w:color="000000" w:fill="DCE6F1"/>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0F243E"/>
              </w:rPr>
            </w:pPr>
            <w:r w:rsidRPr="0067008A">
              <w:rPr>
                <w:rFonts w:ascii="Times New Roman" w:eastAsia="Times New Roman" w:hAnsi="Times New Roman" w:cs="Times New Roman"/>
                <w:b/>
                <w:bCs/>
                <w:color w:val="0F243E"/>
              </w:rPr>
              <w:t xml:space="preserve">Total Impuesto a la Renta Causado </w:t>
            </w:r>
          </w:p>
        </w:tc>
        <w:tc>
          <w:tcPr>
            <w:tcW w:w="1140" w:type="dxa"/>
            <w:tcBorders>
              <w:bottom w:val="single" w:sz="4" w:space="0" w:color="808080"/>
              <w:right w:val="single" w:sz="4" w:space="0" w:color="808080"/>
            </w:tcBorders>
            <w:shd w:val="clear" w:color="000000" w:fill="DCE6F1"/>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0F243E"/>
              </w:rPr>
            </w:pPr>
            <w:r w:rsidRPr="0067008A">
              <w:rPr>
                <w:rFonts w:ascii="Times New Roman" w:eastAsia="Times New Roman" w:hAnsi="Times New Roman" w:cs="Times New Roman"/>
                <w:b/>
                <w:bCs/>
                <w:color w:val="0F243E"/>
              </w:rPr>
              <w:t xml:space="preserve">Total Ingresos </w:t>
            </w:r>
          </w:p>
        </w:tc>
        <w:tc>
          <w:tcPr>
            <w:tcW w:w="1300" w:type="dxa"/>
            <w:tcBorders>
              <w:bottom w:val="single" w:sz="4" w:space="0" w:color="808080"/>
              <w:right w:val="single" w:sz="4" w:space="0" w:color="808080"/>
            </w:tcBorders>
            <w:shd w:val="clear" w:color="000000" w:fill="DCE6F1"/>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0F243E"/>
              </w:rPr>
            </w:pPr>
            <w:r w:rsidRPr="0067008A">
              <w:rPr>
                <w:rFonts w:ascii="Times New Roman" w:eastAsia="Times New Roman" w:hAnsi="Times New Roman" w:cs="Times New Roman"/>
                <w:b/>
                <w:bCs/>
                <w:color w:val="0F243E"/>
              </w:rPr>
              <w:t xml:space="preserve">Total activo </w:t>
            </w:r>
          </w:p>
        </w:tc>
        <w:tc>
          <w:tcPr>
            <w:tcW w:w="1181" w:type="dxa"/>
            <w:tcBorders>
              <w:bottom w:val="single" w:sz="4" w:space="0" w:color="808080"/>
              <w:right w:val="single" w:sz="4" w:space="0" w:color="808080"/>
            </w:tcBorders>
            <w:shd w:val="clear" w:color="000000" w:fill="DCE6F1"/>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0F243E"/>
              </w:rPr>
            </w:pPr>
            <w:r w:rsidRPr="0067008A">
              <w:rPr>
                <w:rFonts w:ascii="Times New Roman" w:eastAsia="Times New Roman" w:hAnsi="Times New Roman" w:cs="Times New Roman"/>
                <w:b/>
                <w:bCs/>
                <w:color w:val="0F243E"/>
              </w:rPr>
              <w:t xml:space="preserve">Total patrimonio neto </w:t>
            </w:r>
          </w:p>
        </w:tc>
        <w:tc>
          <w:tcPr>
            <w:tcW w:w="984" w:type="dxa"/>
            <w:tcBorders>
              <w:bottom w:val="single" w:sz="4" w:space="0" w:color="808080"/>
              <w:right w:val="single" w:sz="4" w:space="0" w:color="808080"/>
            </w:tcBorders>
            <w:shd w:val="clear" w:color="000000" w:fill="DCE6F1"/>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0F243E"/>
              </w:rPr>
            </w:pPr>
            <w:r w:rsidRPr="0067008A">
              <w:rPr>
                <w:rFonts w:ascii="Times New Roman" w:eastAsia="Times New Roman" w:hAnsi="Times New Roman" w:cs="Times New Roman"/>
                <w:b/>
                <w:bCs/>
                <w:color w:val="0F243E"/>
              </w:rPr>
              <w:t>Impuesto a los Activos en el Exterior</w:t>
            </w:r>
          </w:p>
        </w:tc>
        <w:tc>
          <w:tcPr>
            <w:tcW w:w="863" w:type="dxa"/>
            <w:tcBorders>
              <w:bottom w:val="single" w:sz="4" w:space="0" w:color="808080"/>
              <w:right w:val="single" w:sz="4" w:space="0" w:color="808080"/>
            </w:tcBorders>
            <w:shd w:val="clear" w:color="000000" w:fill="DCE6F1"/>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0F243E"/>
              </w:rPr>
            </w:pPr>
            <w:r w:rsidRPr="0067008A">
              <w:rPr>
                <w:rFonts w:ascii="Times New Roman" w:eastAsia="Times New Roman" w:hAnsi="Times New Roman" w:cs="Times New Roman"/>
                <w:b/>
                <w:bCs/>
                <w:color w:val="0F243E"/>
              </w:rPr>
              <w:t>Impuesto a la Salida de Divisas</w:t>
            </w:r>
          </w:p>
        </w:tc>
        <w:tc>
          <w:tcPr>
            <w:tcW w:w="1139" w:type="dxa"/>
            <w:tcBorders>
              <w:bottom w:val="single" w:sz="4" w:space="0" w:color="808080"/>
              <w:right w:val="single" w:sz="4" w:space="0" w:color="808080"/>
            </w:tcBorders>
            <w:shd w:val="clear" w:color="000000" w:fill="DCE6F1"/>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0F243E"/>
              </w:rPr>
            </w:pPr>
            <w:r w:rsidRPr="0067008A">
              <w:rPr>
                <w:rFonts w:ascii="Times New Roman" w:eastAsia="Times New Roman" w:hAnsi="Times New Roman" w:cs="Times New Roman"/>
                <w:b/>
                <w:bCs/>
                <w:color w:val="0F243E"/>
              </w:rPr>
              <w:t xml:space="preserve">Total Recaudado </w:t>
            </w:r>
          </w:p>
        </w:tc>
      </w:tr>
      <w:tr w:rsidR="006A4D59" w:rsidRPr="0067008A">
        <w:trPr>
          <w:trHeight w:val="720"/>
        </w:trPr>
        <w:tc>
          <w:tcPr>
            <w:tcW w:w="1293" w:type="dxa"/>
            <w:tcBorders>
              <w:left w:val="single" w:sz="4"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BANCO DE GUAYAQUIL S.A.</w:t>
            </w:r>
          </w:p>
        </w:tc>
        <w:tc>
          <w:tcPr>
            <w:tcW w:w="1063"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15.071.132,50</w:t>
            </w:r>
          </w:p>
        </w:tc>
        <w:tc>
          <w:tcPr>
            <w:tcW w:w="114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412.304.170,28</w:t>
            </w:r>
          </w:p>
        </w:tc>
        <w:tc>
          <w:tcPr>
            <w:tcW w:w="13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4.048.411.331,73 </w:t>
            </w:r>
          </w:p>
        </w:tc>
        <w:tc>
          <w:tcPr>
            <w:tcW w:w="1181"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390.636.002,28 </w:t>
            </w:r>
          </w:p>
        </w:tc>
        <w:tc>
          <w:tcPr>
            <w:tcW w:w="984"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1.619.551,82</w:t>
            </w:r>
          </w:p>
        </w:tc>
        <w:tc>
          <w:tcPr>
            <w:tcW w:w="863"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515.972,38</w:t>
            </w:r>
          </w:p>
        </w:tc>
        <w:tc>
          <w:tcPr>
            <w:tcW w:w="1139"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147.017.093,00</w:t>
            </w:r>
          </w:p>
        </w:tc>
      </w:tr>
      <w:tr w:rsidR="006A4D59" w:rsidRPr="0067008A">
        <w:trPr>
          <w:trHeight w:val="720"/>
        </w:trPr>
        <w:tc>
          <w:tcPr>
            <w:tcW w:w="1293" w:type="dxa"/>
            <w:tcBorders>
              <w:left w:val="single" w:sz="4"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CORPORACION MULTIBG S.A.</w:t>
            </w:r>
          </w:p>
        </w:tc>
        <w:tc>
          <w:tcPr>
            <w:tcW w:w="1063"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0,00</w:t>
            </w:r>
          </w:p>
        </w:tc>
        <w:tc>
          <w:tcPr>
            <w:tcW w:w="114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22.023.348,72</w:t>
            </w:r>
          </w:p>
        </w:tc>
        <w:tc>
          <w:tcPr>
            <w:tcW w:w="13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138.453.666,22 </w:t>
            </w:r>
          </w:p>
        </w:tc>
        <w:tc>
          <w:tcPr>
            <w:tcW w:w="1181"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138.351.053,93 </w:t>
            </w:r>
          </w:p>
        </w:tc>
        <w:tc>
          <w:tcPr>
            <w:tcW w:w="984"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 </w:t>
            </w:r>
          </w:p>
        </w:tc>
        <w:tc>
          <w:tcPr>
            <w:tcW w:w="863"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0,00</w:t>
            </w:r>
          </w:p>
        </w:tc>
        <w:tc>
          <w:tcPr>
            <w:tcW w:w="1139"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46.330,89</w:t>
            </w:r>
          </w:p>
        </w:tc>
      </w:tr>
      <w:tr w:rsidR="006A4D59" w:rsidRPr="0067008A">
        <w:trPr>
          <w:trHeight w:val="1200"/>
        </w:trPr>
        <w:tc>
          <w:tcPr>
            <w:tcW w:w="1293" w:type="dxa"/>
            <w:tcBorders>
              <w:left w:val="single" w:sz="4"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LASSO MENDOZA GUILLERMO ALBERTO SANTIAGO</w:t>
            </w:r>
          </w:p>
        </w:tc>
        <w:tc>
          <w:tcPr>
            <w:tcW w:w="1063"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5.270.536,85</w:t>
            </w:r>
          </w:p>
        </w:tc>
        <w:tc>
          <w:tcPr>
            <w:tcW w:w="114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15.105.488,14</w:t>
            </w:r>
          </w:p>
        </w:tc>
        <w:tc>
          <w:tcPr>
            <w:tcW w:w="13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81"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84"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 </w:t>
            </w:r>
          </w:p>
        </w:tc>
        <w:tc>
          <w:tcPr>
            <w:tcW w:w="863"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424,78</w:t>
            </w:r>
          </w:p>
        </w:tc>
        <w:tc>
          <w:tcPr>
            <w:tcW w:w="1139"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 </w:t>
            </w:r>
          </w:p>
        </w:tc>
      </w:tr>
      <w:tr w:rsidR="006A4D59" w:rsidRPr="0067008A">
        <w:trPr>
          <w:trHeight w:val="500"/>
        </w:trPr>
        <w:tc>
          <w:tcPr>
            <w:tcW w:w="1293" w:type="dxa"/>
            <w:tcBorders>
              <w:left w:val="single" w:sz="4" w:space="0" w:color="000000"/>
              <w:bottom w:val="single" w:sz="8"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PROMOQUIL S.A.</w:t>
            </w:r>
          </w:p>
        </w:tc>
        <w:tc>
          <w:tcPr>
            <w:tcW w:w="1063" w:type="dxa"/>
            <w:tcBorders>
              <w:bottom w:val="single" w:sz="8"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0,00</w:t>
            </w:r>
          </w:p>
        </w:tc>
        <w:tc>
          <w:tcPr>
            <w:tcW w:w="1140" w:type="dxa"/>
            <w:tcBorders>
              <w:bottom w:val="single" w:sz="8"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2.243.983,81</w:t>
            </w:r>
          </w:p>
        </w:tc>
        <w:tc>
          <w:tcPr>
            <w:tcW w:w="1300" w:type="dxa"/>
            <w:tcBorders>
              <w:bottom w:val="single" w:sz="8"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15.753.805,73 </w:t>
            </w:r>
          </w:p>
        </w:tc>
        <w:tc>
          <w:tcPr>
            <w:tcW w:w="1181" w:type="dxa"/>
            <w:tcBorders>
              <w:bottom w:val="single" w:sz="8"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15.753.805,73 </w:t>
            </w:r>
          </w:p>
        </w:tc>
        <w:tc>
          <w:tcPr>
            <w:tcW w:w="984" w:type="dxa"/>
            <w:tcBorders>
              <w:bottom w:val="single" w:sz="8"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 </w:t>
            </w:r>
          </w:p>
        </w:tc>
        <w:tc>
          <w:tcPr>
            <w:tcW w:w="863" w:type="dxa"/>
            <w:tcBorders>
              <w:bottom w:val="single" w:sz="8"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0,00</w:t>
            </w:r>
          </w:p>
        </w:tc>
        <w:tc>
          <w:tcPr>
            <w:tcW w:w="1139" w:type="dxa"/>
            <w:tcBorders>
              <w:bottom w:val="single" w:sz="8"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1.059,11</w:t>
            </w:r>
          </w:p>
        </w:tc>
      </w:tr>
      <w:tr w:rsidR="006A4D59" w:rsidRPr="0067008A">
        <w:trPr>
          <w:trHeight w:val="320"/>
        </w:trPr>
        <w:tc>
          <w:tcPr>
            <w:tcW w:w="1293" w:type="dxa"/>
            <w:tcBorders>
              <w:left w:val="single" w:sz="4" w:space="0" w:color="000000"/>
              <w:bottom w:val="single" w:sz="8" w:space="0" w:color="808080"/>
              <w:right w:val="single" w:sz="4" w:space="0" w:color="80808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b/>
                <w:bCs/>
              </w:rPr>
            </w:pPr>
            <w:r w:rsidRPr="0067008A">
              <w:rPr>
                <w:rFonts w:ascii="Times New Roman" w:eastAsia="Times New Roman" w:hAnsi="Times New Roman" w:cs="Times New Roman"/>
                <w:b/>
                <w:bCs/>
              </w:rPr>
              <w:t>TOTAL</w:t>
            </w:r>
          </w:p>
        </w:tc>
        <w:tc>
          <w:tcPr>
            <w:tcW w:w="1063" w:type="dxa"/>
            <w:tcBorders>
              <w:bottom w:val="single" w:sz="8"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b/>
                <w:bCs/>
              </w:rPr>
            </w:pPr>
            <w:r w:rsidRPr="0067008A">
              <w:rPr>
                <w:rFonts w:ascii="Times New Roman" w:eastAsia="Times New Roman" w:hAnsi="Times New Roman" w:cs="Times New Roman"/>
                <w:b/>
                <w:bCs/>
              </w:rPr>
              <w:t>20.341.669,35</w:t>
            </w:r>
          </w:p>
        </w:tc>
        <w:tc>
          <w:tcPr>
            <w:tcW w:w="1140" w:type="dxa"/>
            <w:tcBorders>
              <w:bottom w:val="single" w:sz="8"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b/>
                <w:bCs/>
              </w:rPr>
            </w:pPr>
            <w:r w:rsidRPr="0067008A">
              <w:rPr>
                <w:rFonts w:ascii="Times New Roman" w:eastAsia="Times New Roman" w:hAnsi="Times New Roman" w:cs="Times New Roman"/>
                <w:b/>
                <w:bCs/>
              </w:rPr>
              <w:t>451.676.990,95</w:t>
            </w:r>
          </w:p>
        </w:tc>
        <w:tc>
          <w:tcPr>
            <w:tcW w:w="1300" w:type="dxa"/>
            <w:tcBorders>
              <w:bottom w:val="single" w:sz="8" w:space="0" w:color="808080"/>
              <w:right w:val="single" w:sz="8"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b/>
                <w:bCs/>
              </w:rPr>
            </w:pPr>
            <w:r w:rsidRPr="0067008A">
              <w:rPr>
                <w:rFonts w:ascii="Times New Roman" w:eastAsia="Times New Roman" w:hAnsi="Times New Roman" w:cs="Times New Roman"/>
                <w:b/>
                <w:bCs/>
              </w:rPr>
              <w:t>4.202.618.803,68</w:t>
            </w:r>
          </w:p>
        </w:tc>
        <w:tc>
          <w:tcPr>
            <w:tcW w:w="1181" w:type="dxa"/>
            <w:tcBorders>
              <w:left w:val="single" w:sz="4" w:space="0" w:color="808080"/>
              <w:bottom w:val="single" w:sz="8" w:space="0" w:color="808080"/>
              <w:right w:val="single" w:sz="8"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b/>
                <w:bCs/>
              </w:rPr>
            </w:pPr>
            <w:r w:rsidRPr="0067008A">
              <w:rPr>
                <w:rFonts w:ascii="Times New Roman" w:eastAsia="Times New Roman" w:hAnsi="Times New Roman" w:cs="Times New Roman"/>
                <w:b/>
                <w:bCs/>
              </w:rPr>
              <w:t>544.740.861,94</w:t>
            </w:r>
          </w:p>
        </w:tc>
        <w:tc>
          <w:tcPr>
            <w:tcW w:w="984" w:type="dxa"/>
            <w:tcBorders>
              <w:left w:val="single" w:sz="4" w:space="0" w:color="808080"/>
              <w:bottom w:val="single" w:sz="8"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b/>
                <w:bCs/>
              </w:rPr>
            </w:pPr>
            <w:r w:rsidRPr="0067008A">
              <w:rPr>
                <w:rFonts w:ascii="Times New Roman" w:eastAsia="Times New Roman" w:hAnsi="Times New Roman" w:cs="Times New Roman"/>
                <w:b/>
                <w:bCs/>
              </w:rPr>
              <w:t>1.619.551,82</w:t>
            </w:r>
          </w:p>
        </w:tc>
        <w:tc>
          <w:tcPr>
            <w:tcW w:w="863" w:type="dxa"/>
            <w:tcBorders>
              <w:bottom w:val="single" w:sz="8"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b/>
                <w:bCs/>
              </w:rPr>
            </w:pPr>
            <w:r w:rsidRPr="0067008A">
              <w:rPr>
                <w:rFonts w:ascii="Times New Roman" w:eastAsia="Times New Roman" w:hAnsi="Times New Roman" w:cs="Times New Roman"/>
                <w:b/>
                <w:bCs/>
              </w:rPr>
              <w:t>516.397,16</w:t>
            </w:r>
          </w:p>
        </w:tc>
        <w:tc>
          <w:tcPr>
            <w:tcW w:w="1139" w:type="dxa"/>
            <w:tcBorders>
              <w:bottom w:val="single" w:sz="8"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b/>
                <w:bCs/>
              </w:rPr>
            </w:pPr>
            <w:r w:rsidRPr="0067008A">
              <w:rPr>
                <w:rFonts w:ascii="Times New Roman" w:eastAsia="Times New Roman" w:hAnsi="Times New Roman" w:cs="Times New Roman"/>
                <w:b/>
                <w:bCs/>
              </w:rPr>
              <w:t>147.064.483,00</w:t>
            </w:r>
          </w:p>
        </w:tc>
      </w:tr>
    </w:tbl>
    <w:p w:rsidR="006A4D59" w:rsidRPr="0067008A" w:rsidRDefault="00921711" w:rsidP="00677E33">
      <w:pPr>
        <w:spacing w:after="240" w:line="360" w:lineRule="auto"/>
        <w:rPr>
          <w:rFonts w:ascii="Times New Roman" w:hAnsi="Times New Roman" w:cs="Times New Roman"/>
        </w:rPr>
      </w:pPr>
      <w:r w:rsidRPr="0067008A">
        <w:rPr>
          <w:rFonts w:ascii="Times New Roman" w:hAnsi="Times New Roman" w:cs="Times New Roman"/>
        </w:rPr>
        <w:t>Fuente: (SRI 2021)</w:t>
      </w:r>
    </w:p>
    <w:p w:rsidR="006A4D59" w:rsidRPr="0067008A" w:rsidRDefault="00921711" w:rsidP="002E7BE5">
      <w:pPr>
        <w:spacing w:after="240" w:line="360" w:lineRule="auto"/>
        <w:jc w:val="both"/>
        <w:rPr>
          <w:rFonts w:ascii="Times New Roman" w:hAnsi="Times New Roman" w:cs="Times New Roman"/>
        </w:rPr>
      </w:pPr>
      <w:r w:rsidRPr="0067008A">
        <w:rPr>
          <w:rFonts w:ascii="Times New Roman" w:hAnsi="Times New Roman" w:cs="Times New Roman"/>
        </w:rPr>
        <w:t>El año 2015 marca un cambio importante en la presentación de datos al SRI con respecto a la verdadera estructura económica del grupo. Aparecen ya varias empresas y fideicomisos administrados por el grupo. Sin embargo, llama la atención la débil responsabilidad fiscal del grupo, de las 59 empresas, solo 19 de ellas presentan pagos de impuesto a la renta.</w:t>
      </w:r>
    </w:p>
    <w:p w:rsidR="006A4D59" w:rsidRPr="0067008A" w:rsidRDefault="00921711" w:rsidP="00677E33">
      <w:pPr>
        <w:pStyle w:val="Descripcin"/>
        <w:spacing w:after="240" w:line="360" w:lineRule="auto"/>
        <w:rPr>
          <w:rFonts w:ascii="Times New Roman" w:hAnsi="Times New Roman" w:cs="Times New Roman"/>
          <w:sz w:val="22"/>
          <w:szCs w:val="22"/>
        </w:rPr>
      </w:pPr>
      <w:r w:rsidRPr="0067008A">
        <w:rPr>
          <w:rFonts w:ascii="Times New Roman" w:hAnsi="Times New Roman" w:cs="Times New Roman"/>
          <w:sz w:val="22"/>
          <w:szCs w:val="22"/>
        </w:rPr>
        <w:t xml:space="preserve">Tabla </w:t>
      </w:r>
      <w:r w:rsidRPr="0067008A">
        <w:rPr>
          <w:rFonts w:ascii="Times New Roman" w:hAnsi="Times New Roman" w:cs="Times New Roman"/>
          <w:sz w:val="22"/>
          <w:szCs w:val="22"/>
        </w:rPr>
        <w:fldChar w:fldCharType="begin"/>
      </w:r>
      <w:r w:rsidRPr="0067008A">
        <w:rPr>
          <w:rFonts w:ascii="Times New Roman" w:hAnsi="Times New Roman" w:cs="Times New Roman"/>
          <w:sz w:val="22"/>
          <w:szCs w:val="22"/>
        </w:rPr>
        <w:instrText>SEQ Tabla \* ARABIC</w:instrText>
      </w:r>
      <w:r w:rsidRPr="0067008A">
        <w:rPr>
          <w:rFonts w:ascii="Times New Roman" w:hAnsi="Times New Roman" w:cs="Times New Roman"/>
          <w:sz w:val="22"/>
          <w:szCs w:val="22"/>
        </w:rPr>
        <w:fldChar w:fldCharType="separate"/>
      </w:r>
      <w:r w:rsidR="0029216E" w:rsidRPr="0067008A">
        <w:rPr>
          <w:rFonts w:ascii="Times New Roman" w:hAnsi="Times New Roman" w:cs="Times New Roman"/>
          <w:noProof/>
          <w:sz w:val="22"/>
          <w:szCs w:val="22"/>
        </w:rPr>
        <w:t>9</w:t>
      </w:r>
      <w:r w:rsidRPr="0067008A">
        <w:rPr>
          <w:rFonts w:ascii="Times New Roman" w:hAnsi="Times New Roman" w:cs="Times New Roman"/>
          <w:sz w:val="22"/>
          <w:szCs w:val="22"/>
        </w:rPr>
        <w:fldChar w:fldCharType="end"/>
      </w:r>
      <w:r w:rsidRPr="0067008A">
        <w:rPr>
          <w:rFonts w:ascii="Times New Roman" w:hAnsi="Times New Roman" w:cs="Times New Roman"/>
          <w:sz w:val="22"/>
          <w:szCs w:val="22"/>
        </w:rPr>
        <w:t xml:space="preserve"> Ingresos e impuestos causados grupo Banco de Guayaquil, año 2015, en USD</w:t>
      </w:r>
    </w:p>
    <w:tbl>
      <w:tblPr>
        <w:tblW w:w="8964" w:type="dxa"/>
        <w:tblInd w:w="55" w:type="dxa"/>
        <w:tblCellMar>
          <w:left w:w="70" w:type="dxa"/>
          <w:right w:w="70" w:type="dxa"/>
        </w:tblCellMar>
        <w:tblLook w:val="04A0" w:firstRow="1" w:lastRow="0" w:firstColumn="1" w:lastColumn="0" w:noHBand="0" w:noVBand="1"/>
      </w:tblPr>
      <w:tblGrid>
        <w:gridCol w:w="2059"/>
        <w:gridCol w:w="1130"/>
        <w:gridCol w:w="1240"/>
        <w:gridCol w:w="1405"/>
        <w:gridCol w:w="1240"/>
        <w:gridCol w:w="1021"/>
        <w:gridCol w:w="1240"/>
      </w:tblGrid>
      <w:tr w:rsidR="006A4D59" w:rsidRPr="0067008A">
        <w:trPr>
          <w:trHeight w:val="320"/>
        </w:trPr>
        <w:tc>
          <w:tcPr>
            <w:tcW w:w="2585" w:type="dxa"/>
            <w:shd w:val="clear" w:color="auto" w:fill="auto"/>
            <w:vAlign w:val="bottom"/>
          </w:tcPr>
          <w:p w:rsidR="006A4D59" w:rsidRPr="0067008A" w:rsidRDefault="006A4D59" w:rsidP="00677E33">
            <w:pPr>
              <w:spacing w:after="240" w:line="360" w:lineRule="auto"/>
              <w:rPr>
                <w:rFonts w:ascii="Times New Roman" w:eastAsia="Times New Roman" w:hAnsi="Times New Roman" w:cs="Times New Roman"/>
                <w:color w:val="000000"/>
              </w:rPr>
            </w:pPr>
          </w:p>
        </w:tc>
        <w:tc>
          <w:tcPr>
            <w:tcW w:w="6378" w:type="dxa"/>
            <w:gridSpan w:val="6"/>
            <w:tcBorders>
              <w:top w:val="single" w:sz="8" w:space="0" w:color="808080"/>
              <w:left w:val="single" w:sz="8" w:space="0" w:color="808080"/>
              <w:right w:val="single" w:sz="8" w:space="0" w:color="808080"/>
            </w:tcBorders>
            <w:shd w:val="clear" w:color="000000" w:fill="B8CCE4"/>
            <w:vAlign w:val="center"/>
          </w:tcPr>
          <w:p w:rsidR="006A4D59" w:rsidRPr="0067008A" w:rsidRDefault="00921711" w:rsidP="00677E33">
            <w:pPr>
              <w:spacing w:after="240" w:line="360" w:lineRule="auto"/>
              <w:jc w:val="center"/>
              <w:rPr>
                <w:rFonts w:ascii="Times New Roman" w:eastAsia="Times New Roman" w:hAnsi="Times New Roman" w:cs="Times New Roman"/>
                <w:b/>
                <w:bCs/>
              </w:rPr>
            </w:pPr>
            <w:r w:rsidRPr="0067008A">
              <w:rPr>
                <w:rFonts w:ascii="Times New Roman" w:eastAsia="Times New Roman" w:hAnsi="Times New Roman" w:cs="Times New Roman"/>
                <w:b/>
                <w:bCs/>
              </w:rPr>
              <w:t>2015</w:t>
            </w:r>
          </w:p>
        </w:tc>
      </w:tr>
      <w:tr w:rsidR="006A4D59" w:rsidRPr="0067008A">
        <w:trPr>
          <w:trHeight w:val="960"/>
        </w:trPr>
        <w:tc>
          <w:tcPr>
            <w:tcW w:w="2585" w:type="dxa"/>
            <w:tcBorders>
              <w:top w:val="single" w:sz="8" w:space="0" w:color="000000"/>
              <w:left w:val="single" w:sz="4" w:space="0" w:color="000000"/>
              <w:bottom w:val="single" w:sz="4" w:space="0" w:color="000000"/>
              <w:right w:val="single" w:sz="4" w:space="0" w:color="000000"/>
            </w:tcBorders>
            <w:shd w:val="clear" w:color="000000" w:fill="C5D9F1"/>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16365C"/>
              </w:rPr>
            </w:pPr>
            <w:r w:rsidRPr="0067008A">
              <w:rPr>
                <w:rFonts w:ascii="Times New Roman" w:eastAsia="Times New Roman" w:hAnsi="Times New Roman" w:cs="Times New Roman"/>
                <w:b/>
                <w:bCs/>
                <w:color w:val="16365C"/>
              </w:rPr>
              <w:t>Razón Social Integrante</w:t>
            </w:r>
          </w:p>
        </w:tc>
        <w:tc>
          <w:tcPr>
            <w:tcW w:w="1135" w:type="dxa"/>
            <w:tcBorders>
              <w:top w:val="single" w:sz="8" w:space="0" w:color="000000"/>
              <w:bottom w:val="single" w:sz="4" w:space="0" w:color="000000"/>
              <w:right w:val="single" w:sz="4" w:space="0" w:color="000000"/>
            </w:tcBorders>
            <w:shd w:val="clear" w:color="000000" w:fill="95B3D7"/>
            <w:vAlign w:val="center"/>
          </w:tcPr>
          <w:p w:rsidR="006A4D59" w:rsidRPr="0067008A" w:rsidRDefault="00921711" w:rsidP="00677E33">
            <w:pPr>
              <w:spacing w:after="240" w:line="360" w:lineRule="auto"/>
              <w:jc w:val="center"/>
              <w:rPr>
                <w:rFonts w:ascii="Times New Roman" w:eastAsia="Times New Roman" w:hAnsi="Times New Roman" w:cs="Times New Roman"/>
                <w:b/>
                <w:bCs/>
              </w:rPr>
            </w:pPr>
            <w:r w:rsidRPr="0067008A">
              <w:rPr>
                <w:rFonts w:ascii="Times New Roman" w:eastAsia="Times New Roman" w:hAnsi="Times New Roman" w:cs="Times New Roman"/>
                <w:b/>
                <w:bCs/>
              </w:rPr>
              <w:t xml:space="preserve">Total Impuesto a la Renta Causado </w:t>
            </w:r>
          </w:p>
        </w:tc>
        <w:tc>
          <w:tcPr>
            <w:tcW w:w="970" w:type="dxa"/>
            <w:tcBorders>
              <w:top w:val="single" w:sz="8" w:space="0" w:color="000000"/>
              <w:bottom w:val="single" w:sz="4" w:space="0" w:color="000000"/>
              <w:right w:val="single" w:sz="4" w:space="0" w:color="000000"/>
            </w:tcBorders>
            <w:shd w:val="clear" w:color="000000" w:fill="95B3D7"/>
            <w:vAlign w:val="center"/>
          </w:tcPr>
          <w:p w:rsidR="006A4D59" w:rsidRPr="0067008A" w:rsidRDefault="00921711" w:rsidP="00677E33">
            <w:pPr>
              <w:spacing w:after="240" w:line="360" w:lineRule="auto"/>
              <w:jc w:val="center"/>
              <w:rPr>
                <w:rFonts w:ascii="Times New Roman" w:eastAsia="Times New Roman" w:hAnsi="Times New Roman" w:cs="Times New Roman"/>
                <w:b/>
                <w:bCs/>
              </w:rPr>
            </w:pPr>
            <w:r w:rsidRPr="0067008A">
              <w:rPr>
                <w:rFonts w:ascii="Times New Roman" w:eastAsia="Times New Roman" w:hAnsi="Times New Roman" w:cs="Times New Roman"/>
                <w:b/>
                <w:bCs/>
              </w:rPr>
              <w:t xml:space="preserve">Total Ingresos </w:t>
            </w:r>
          </w:p>
        </w:tc>
        <w:tc>
          <w:tcPr>
            <w:tcW w:w="1100" w:type="dxa"/>
            <w:tcBorders>
              <w:top w:val="single" w:sz="8" w:space="0" w:color="000000"/>
              <w:bottom w:val="single" w:sz="4" w:space="0" w:color="000000"/>
              <w:right w:val="single" w:sz="4" w:space="0" w:color="000000"/>
            </w:tcBorders>
            <w:shd w:val="clear" w:color="000000" w:fill="95B3D7"/>
            <w:vAlign w:val="center"/>
          </w:tcPr>
          <w:p w:rsidR="006A4D59" w:rsidRPr="0067008A" w:rsidRDefault="00921711" w:rsidP="00677E33">
            <w:pPr>
              <w:spacing w:after="240" w:line="360" w:lineRule="auto"/>
              <w:jc w:val="center"/>
              <w:rPr>
                <w:rFonts w:ascii="Times New Roman" w:eastAsia="Times New Roman" w:hAnsi="Times New Roman" w:cs="Times New Roman"/>
                <w:b/>
                <w:bCs/>
              </w:rPr>
            </w:pPr>
            <w:r w:rsidRPr="0067008A">
              <w:rPr>
                <w:rFonts w:ascii="Times New Roman" w:eastAsia="Times New Roman" w:hAnsi="Times New Roman" w:cs="Times New Roman"/>
                <w:b/>
                <w:bCs/>
              </w:rPr>
              <w:t xml:space="preserve">Total activo </w:t>
            </w:r>
          </w:p>
        </w:tc>
        <w:tc>
          <w:tcPr>
            <w:tcW w:w="1088" w:type="dxa"/>
            <w:tcBorders>
              <w:top w:val="single" w:sz="8" w:space="0" w:color="000000"/>
              <w:bottom w:val="single" w:sz="4" w:space="0" w:color="000000"/>
              <w:right w:val="single" w:sz="4" w:space="0" w:color="000000"/>
            </w:tcBorders>
            <w:shd w:val="clear" w:color="000000" w:fill="95B3D7"/>
            <w:vAlign w:val="center"/>
          </w:tcPr>
          <w:p w:rsidR="006A4D59" w:rsidRPr="0067008A" w:rsidRDefault="00921711" w:rsidP="00677E33">
            <w:pPr>
              <w:spacing w:after="240" w:line="360" w:lineRule="auto"/>
              <w:jc w:val="center"/>
              <w:rPr>
                <w:rFonts w:ascii="Times New Roman" w:eastAsia="Times New Roman" w:hAnsi="Times New Roman" w:cs="Times New Roman"/>
                <w:b/>
                <w:bCs/>
              </w:rPr>
            </w:pPr>
            <w:r w:rsidRPr="0067008A">
              <w:rPr>
                <w:rFonts w:ascii="Times New Roman" w:eastAsia="Times New Roman" w:hAnsi="Times New Roman" w:cs="Times New Roman"/>
                <w:b/>
                <w:bCs/>
              </w:rPr>
              <w:t xml:space="preserve">Total patrimonio neto </w:t>
            </w:r>
          </w:p>
        </w:tc>
        <w:tc>
          <w:tcPr>
            <w:tcW w:w="1085" w:type="dxa"/>
            <w:tcBorders>
              <w:top w:val="single" w:sz="8" w:space="0" w:color="000000"/>
              <w:bottom w:val="single" w:sz="4" w:space="0" w:color="000000"/>
              <w:right w:val="single" w:sz="4" w:space="0" w:color="000000"/>
            </w:tcBorders>
            <w:shd w:val="clear" w:color="000000" w:fill="95B3D7"/>
            <w:vAlign w:val="center"/>
          </w:tcPr>
          <w:p w:rsidR="006A4D59" w:rsidRPr="0067008A" w:rsidRDefault="00921711" w:rsidP="00677E33">
            <w:pPr>
              <w:spacing w:after="240" w:line="360" w:lineRule="auto"/>
              <w:jc w:val="center"/>
              <w:rPr>
                <w:rFonts w:ascii="Times New Roman" w:eastAsia="Times New Roman" w:hAnsi="Times New Roman" w:cs="Times New Roman"/>
                <w:b/>
                <w:bCs/>
              </w:rPr>
            </w:pPr>
            <w:r w:rsidRPr="0067008A">
              <w:rPr>
                <w:rFonts w:ascii="Times New Roman" w:eastAsia="Times New Roman" w:hAnsi="Times New Roman" w:cs="Times New Roman"/>
                <w:b/>
                <w:bCs/>
              </w:rPr>
              <w:t>Impuesto a los Activos en el Exterior</w:t>
            </w:r>
          </w:p>
        </w:tc>
        <w:tc>
          <w:tcPr>
            <w:tcW w:w="1000" w:type="dxa"/>
            <w:tcBorders>
              <w:top w:val="single" w:sz="8" w:space="0" w:color="000000"/>
              <w:bottom w:val="single" w:sz="4" w:space="0" w:color="000000"/>
              <w:right w:val="single" w:sz="4" w:space="0" w:color="000000"/>
            </w:tcBorders>
            <w:shd w:val="clear" w:color="000000" w:fill="95B3D7"/>
            <w:vAlign w:val="center"/>
          </w:tcPr>
          <w:p w:rsidR="006A4D59" w:rsidRPr="0067008A" w:rsidRDefault="00921711" w:rsidP="00677E33">
            <w:pPr>
              <w:spacing w:after="240" w:line="360" w:lineRule="auto"/>
              <w:jc w:val="center"/>
              <w:rPr>
                <w:rFonts w:ascii="Times New Roman" w:eastAsia="Times New Roman" w:hAnsi="Times New Roman" w:cs="Times New Roman"/>
                <w:b/>
                <w:bCs/>
              </w:rPr>
            </w:pPr>
            <w:r w:rsidRPr="0067008A">
              <w:rPr>
                <w:rFonts w:ascii="Times New Roman" w:eastAsia="Times New Roman" w:hAnsi="Times New Roman" w:cs="Times New Roman"/>
                <w:b/>
                <w:bCs/>
              </w:rPr>
              <w:t xml:space="preserve">Total Recaudado </w:t>
            </w:r>
          </w:p>
        </w:tc>
      </w:tr>
      <w:tr w:rsidR="006A4D59" w:rsidRPr="0067008A">
        <w:trPr>
          <w:trHeight w:val="72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BANCO GUAYAQUIL S.A.</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10.772.238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423.605.896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3.555.033.986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401.241.775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9.468.267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188.183.455 </w:t>
            </w:r>
          </w:p>
        </w:tc>
      </w:tr>
      <w:tr w:rsidR="006A4D59" w:rsidRPr="0067008A">
        <w:trPr>
          <w:trHeight w:val="96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ARTES GRAFICAS SENEFELDER C.A.</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314.531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37.282.231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34.881.388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7.220.802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1.365.499 </w:t>
            </w:r>
          </w:p>
        </w:tc>
      </w:tr>
      <w:tr w:rsidR="006A4D59" w:rsidRPr="0067008A">
        <w:trPr>
          <w:trHeight w:val="48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LIVERCOSTAS S.A.</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85.066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4.629.075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1.604.647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809.199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387.100 </w:t>
            </w:r>
          </w:p>
        </w:tc>
      </w:tr>
      <w:tr w:rsidR="006A4D59" w:rsidRPr="0067008A">
        <w:trPr>
          <w:trHeight w:val="672"/>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LASSO MENDOZA GUILLERMO ALBERTO SANTIAGO</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976.003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2.837.154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695"/>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MERCANTIL DE ADMINISTRACION GLM</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1.864.663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18.826.517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18.826.517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311.199 </w:t>
            </w:r>
          </w:p>
        </w:tc>
      </w:tr>
      <w:tr w:rsidR="006A4D59" w:rsidRPr="0067008A">
        <w:trPr>
          <w:trHeight w:val="691"/>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YOU TRAVEL AGENCY S.A. YTA AGENCIA DE VIAJES Y TURISMO</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24.750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1.040.948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722.753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414.611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90.027 </w:t>
            </w:r>
          </w:p>
        </w:tc>
      </w:tr>
      <w:tr w:rsidR="006A4D59" w:rsidRPr="0067008A">
        <w:trPr>
          <w:trHeight w:val="559"/>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LASSO MENDOZA MARIA EUGENIA</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415.740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1.247.203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411"/>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LASSO MENDOZA CARLOS JORGE</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389.518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1.213.608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104.905 </w:t>
            </w:r>
          </w:p>
        </w:tc>
      </w:tr>
      <w:tr w:rsidR="006A4D59" w:rsidRPr="0067008A">
        <w:trPr>
          <w:trHeight w:val="56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MERCANTIL DE ADMINISTRACION MELM</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828.800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8.451.919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8.451.919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142.821 </w:t>
            </w:r>
          </w:p>
        </w:tc>
      </w:tr>
      <w:tr w:rsidR="006A4D59" w:rsidRPr="0067008A">
        <w:trPr>
          <w:trHeight w:val="709"/>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ADMINISTRACION E INVERSION DE BIENES DE CAPITALES TRES</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6.658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224.972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1.060.047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260.446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6.764 </w:t>
            </w:r>
          </w:p>
        </w:tc>
      </w:tr>
      <w:tr w:rsidR="006A4D59" w:rsidRPr="0067008A">
        <w:trPr>
          <w:trHeight w:val="549"/>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MERCANTIL DE ADMINISTRACION CLM-MMS</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705.972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7.015.913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7.015.913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115.937 </w:t>
            </w:r>
          </w:p>
        </w:tc>
      </w:tr>
      <w:tr w:rsidR="006A4D59" w:rsidRPr="0067008A">
        <w:trPr>
          <w:trHeight w:val="48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PROMOQUIL S.A.</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633.092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14.743.246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14.743.222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74 </w:t>
            </w:r>
          </w:p>
        </w:tc>
      </w:tr>
      <w:tr w:rsidR="006A4D59" w:rsidRPr="0067008A">
        <w:trPr>
          <w:trHeight w:val="635"/>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CARRERA DROUET DANILO EDUARDO</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126.818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421.711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42.175 </w:t>
            </w:r>
          </w:p>
        </w:tc>
      </w:tr>
      <w:tr w:rsidR="006A4D59" w:rsidRPr="0067008A">
        <w:trPr>
          <w:trHeight w:val="417"/>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MUÑOZ SALGADO MERCEDES LEONOR</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4.958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73.001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2.002 </w:t>
            </w:r>
          </w:p>
        </w:tc>
      </w:tr>
      <w:tr w:rsidR="006A4D59" w:rsidRPr="0067008A">
        <w:trPr>
          <w:trHeight w:val="552"/>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MERCANTIL DE ADMINISTRACION DCD-UNO</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183.283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1.576.396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1.576.396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27.458 </w:t>
            </w:r>
          </w:p>
        </w:tc>
      </w:tr>
      <w:tr w:rsidR="006A4D59" w:rsidRPr="0067008A">
        <w:trPr>
          <w:trHeight w:val="559"/>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DE ADMINISTRACION DE INMUEBLE OASIS</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687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178.429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(10.132)</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784 </w:t>
            </w:r>
          </w:p>
        </w:tc>
      </w:tr>
      <w:tr w:rsidR="006A4D59" w:rsidRPr="0067008A">
        <w:trPr>
          <w:trHeight w:val="567"/>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MERCANTIL DE ADMINISTRACION DCD-DOS</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126.310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1.051.732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1.051.732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18.305 </w:t>
            </w:r>
          </w:p>
        </w:tc>
      </w:tr>
      <w:tr w:rsidR="006A4D59" w:rsidRPr="0067008A">
        <w:trPr>
          <w:trHeight w:val="406"/>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CARRERA LASSO ANA MARIA</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40.243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172.272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114 </w:t>
            </w:r>
          </w:p>
        </w:tc>
      </w:tr>
      <w:tr w:rsidR="006A4D59" w:rsidRPr="0067008A">
        <w:trPr>
          <w:trHeight w:val="412"/>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GRUPO CORPORATIVO YOU YOUCORP S.A.</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65.159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254.962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254.962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417"/>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BROTHER'S INVESTMENT LTD.</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21.110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32.400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3.262.414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3.262.414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42.345 </w:t>
            </w:r>
          </w:p>
        </w:tc>
      </w:tr>
      <w:tr w:rsidR="006A4D59" w:rsidRPr="0067008A">
        <w:trPr>
          <w:trHeight w:val="424"/>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INMOBILIARIO BG DOS MIL NUEVE</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4.829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98.341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763.087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362.672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4.830 </w:t>
            </w:r>
          </w:p>
        </w:tc>
      </w:tr>
      <w:tr w:rsidR="006A4D59" w:rsidRPr="0067008A">
        <w:trPr>
          <w:trHeight w:val="274"/>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CORPORACION MULTIBG S.A.</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6.609.308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139.342.415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139.338.864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685.549 </w:t>
            </w:r>
          </w:p>
        </w:tc>
      </w:tr>
      <w:tr w:rsidR="006A4D59" w:rsidRPr="0067008A">
        <w:trPr>
          <w:trHeight w:val="69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MERCANTIL DE ADMINISTRACION E INVERSION PERTENENCIA BG</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7.043.578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7.039.910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2.750 </w:t>
            </w:r>
          </w:p>
        </w:tc>
      </w:tr>
      <w:tr w:rsidR="006A4D59" w:rsidRPr="0067008A">
        <w:trPr>
          <w:trHeight w:val="274"/>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ACTIVOS DOS MIL CUATRO</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241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8.059.592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40.323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244 </w:t>
            </w:r>
          </w:p>
        </w:tc>
      </w:tr>
      <w:tr w:rsidR="006A4D59" w:rsidRPr="0067008A">
        <w:trPr>
          <w:trHeight w:val="335"/>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MERCANTIL DE GARANTIA DE VEHICULO BG</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7.932.086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7.932.086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39.093 </w:t>
            </w:r>
          </w:p>
        </w:tc>
      </w:tr>
      <w:tr w:rsidR="006A4D59" w:rsidRPr="0067008A">
        <w:trPr>
          <w:trHeight w:val="37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ARBOLEDA DEL SALADO</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3.591.919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3.591.919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269"/>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HOLDING ANMACALGRUP S.A.</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45.135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285.558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2.618.042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666.613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732 </w:t>
            </w:r>
          </w:p>
        </w:tc>
      </w:tr>
      <w:tr w:rsidR="006A4D59" w:rsidRPr="0067008A">
        <w:trPr>
          <w:trHeight w:val="269"/>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BG INMUEBLES CERO CERO UNO</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1.019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1.019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189"/>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DE ADMINISTRACION PROYECTO GYD</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1.192.231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932.453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9.380 </w:t>
            </w:r>
          </w:p>
        </w:tc>
      </w:tr>
      <w:tr w:rsidR="006A4D59" w:rsidRPr="0067008A">
        <w:trPr>
          <w:trHeight w:val="237"/>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MERCANTIL CAPAES</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1.198.619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1.198.619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978"/>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MERCANTIL DE ADMINISTRACION Y GARANTIA MANUEL EDMUNDO GUTIERREZ OCHOA</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1.060.381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1.060.381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423"/>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SOUTH PACIFIC INVESTORS LTD</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975.665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502.708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9.776 </w:t>
            </w:r>
          </w:p>
        </w:tc>
      </w:tr>
      <w:tr w:rsidR="006A4D59" w:rsidRPr="0067008A">
        <w:trPr>
          <w:trHeight w:val="401"/>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MULTIPREDIOS UNO</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5.934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70.754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883.931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883.864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5.935 </w:t>
            </w:r>
          </w:p>
        </w:tc>
      </w:tr>
      <w:tr w:rsidR="006A4D59" w:rsidRPr="0067008A">
        <w:trPr>
          <w:trHeight w:val="577"/>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MERCANTIL DE FLUJOS Y PAGOS JBG</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558"/>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DE ADMINISTRACION DE RECURSOS ROBUSTASA</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41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MERCANTIL DE ADMINISTRACION CLM MMS DOS</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418.951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418.951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558"/>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INMOBILIARIO BG DOS MIL CUATRO</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228.978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71.883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41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GUZMAN CALERO</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153.736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153.736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415"/>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DE ADMINISTRACION MANHATTAN</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195.147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123.030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1.455 </w:t>
            </w:r>
          </w:p>
        </w:tc>
      </w:tr>
      <w:tr w:rsidR="006A4D59" w:rsidRPr="0067008A">
        <w:trPr>
          <w:trHeight w:val="691"/>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MERCANTIL DE ADMINISTRACION DE FLUJOS Y PAGOS HOUSE SPORT I</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29.003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28.998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62 </w:t>
            </w:r>
          </w:p>
        </w:tc>
      </w:tr>
      <w:tr w:rsidR="006A4D59" w:rsidRPr="0067008A">
        <w:trPr>
          <w:trHeight w:val="56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DE ADMINISTRACION DE INMUEBLE BARANDUA III</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94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27.729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(7.036)</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94 </w:t>
            </w:r>
          </w:p>
        </w:tc>
      </w:tr>
      <w:tr w:rsidR="006A4D59" w:rsidRPr="0067008A">
        <w:trPr>
          <w:trHeight w:val="554"/>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MERCANTIL DE FLUJOS Y PAGOS EL UNIVERSO</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24.382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24.382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575"/>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MERCANTIL DE ADMINISTRACION Y PAGOS EXPOGUAYAQUIL</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414"/>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SOLOMONCORP S.A.</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50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8.946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8.946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53 </w:t>
            </w:r>
          </w:p>
        </w:tc>
      </w:tr>
      <w:tr w:rsidR="006A4D59" w:rsidRPr="0067008A">
        <w:trPr>
          <w:trHeight w:val="547"/>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MERCANTIL DE FLUJOS Y PAGOS FILCASA</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555"/>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MERCANTIL DE FLUJOS Y PAGOS GUIMSA</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407"/>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SENEFELDER DOS</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711"/>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DE ADMINISTRACION DE FLUJOS Y PAGOS ECUATORIANO SUIZA</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4.819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4.819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551"/>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MERCANTIL DE FLUJOS Y PAGOS AGROPERKINS</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559"/>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MERCANTIL DE ADMINISTRACION Y PAGOS LATINOEXPRESS - BG</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92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46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16 </w:t>
            </w:r>
          </w:p>
        </w:tc>
      </w:tr>
      <w:tr w:rsidR="006A4D59" w:rsidRPr="0067008A">
        <w:trPr>
          <w:trHeight w:val="567"/>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MERCANTIL DE FLUJOS Y PAGOS INT FOOD SERVICES CORP</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419"/>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ALCIVAR CRESPO MARIA DE LOURDES</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694"/>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MERCANTIL DE FLUJOS Y PAGOS DISMUNDI</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552"/>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LASSO ALCIVAR GUILLERMO ENRIQUE</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11.260 </w:t>
            </w:r>
          </w:p>
        </w:tc>
      </w:tr>
      <w:tr w:rsidR="006A4D59" w:rsidRPr="0067008A">
        <w:trPr>
          <w:trHeight w:val="453"/>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LASSO ALCIVAR MARIA DE LOURDES</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544"/>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LASSO ALCIVAR MARIA MERCEDES</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429"/>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LASSO ALCIVAR SANTIAGO XAVIER</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48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BANISI HOLDING</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30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BANISI</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32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 </w:t>
            </w:r>
          </w:p>
        </w:tc>
        <w:tc>
          <w:tcPr>
            <w:tcW w:w="113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 </w:t>
            </w:r>
          </w:p>
        </w:tc>
        <w:tc>
          <w:tcPr>
            <w:tcW w:w="97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 </w:t>
            </w:r>
          </w:p>
        </w:tc>
        <w:tc>
          <w:tcPr>
            <w:tcW w:w="1000" w:type="dxa"/>
            <w:tcBorders>
              <w:bottom w:val="single" w:sz="4" w:space="0" w:color="808080"/>
              <w:right w:val="single" w:sz="8" w:space="0" w:color="00000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 </w:t>
            </w:r>
          </w:p>
        </w:tc>
      </w:tr>
      <w:tr w:rsidR="006A4D59" w:rsidRPr="0067008A">
        <w:trPr>
          <w:trHeight w:val="320"/>
        </w:trPr>
        <w:tc>
          <w:tcPr>
            <w:tcW w:w="2585" w:type="dxa"/>
            <w:tcBorders>
              <w:top w:val="single" w:sz="8" w:space="0" w:color="000000"/>
              <w:left w:val="single" w:sz="4" w:space="0" w:color="808080"/>
              <w:bottom w:val="single" w:sz="8" w:space="0" w:color="000000"/>
              <w:right w:val="single" w:sz="4" w:space="0" w:color="80808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b/>
                <w:bCs/>
              </w:rPr>
            </w:pPr>
            <w:r w:rsidRPr="0067008A">
              <w:rPr>
                <w:rFonts w:ascii="Times New Roman" w:eastAsia="Times New Roman" w:hAnsi="Times New Roman" w:cs="Times New Roman"/>
                <w:b/>
                <w:bCs/>
              </w:rPr>
              <w:t>59</w:t>
            </w:r>
          </w:p>
        </w:tc>
        <w:tc>
          <w:tcPr>
            <w:tcW w:w="1135" w:type="dxa"/>
            <w:tcBorders>
              <w:top w:val="single" w:sz="8" w:space="0" w:color="000000"/>
              <w:left w:val="single" w:sz="8" w:space="0" w:color="000000"/>
              <w:bottom w:val="single" w:sz="8" w:space="0" w:color="00000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b/>
                <w:bCs/>
              </w:rPr>
            </w:pPr>
            <w:r w:rsidRPr="0067008A">
              <w:rPr>
                <w:rFonts w:ascii="Times New Roman" w:eastAsia="Times New Roman" w:hAnsi="Times New Roman" w:cs="Times New Roman"/>
                <w:b/>
                <w:bCs/>
              </w:rPr>
              <w:t>13.234.603</w:t>
            </w:r>
          </w:p>
        </w:tc>
        <w:tc>
          <w:tcPr>
            <w:tcW w:w="970" w:type="dxa"/>
            <w:tcBorders>
              <w:top w:val="single" w:sz="8" w:space="0" w:color="000000"/>
              <w:left w:val="single" w:sz="8" w:space="0" w:color="000000"/>
              <w:bottom w:val="single" w:sz="8" w:space="0" w:color="00000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b/>
                <w:bCs/>
              </w:rPr>
            </w:pPr>
            <w:r w:rsidRPr="0067008A">
              <w:rPr>
                <w:rFonts w:ascii="Times New Roman" w:eastAsia="Times New Roman" w:hAnsi="Times New Roman" w:cs="Times New Roman"/>
                <w:b/>
                <w:bCs/>
              </w:rPr>
              <w:t>484.251.711</w:t>
            </w:r>
          </w:p>
        </w:tc>
        <w:tc>
          <w:tcPr>
            <w:tcW w:w="1100" w:type="dxa"/>
            <w:tcBorders>
              <w:top w:val="single" w:sz="8" w:space="0" w:color="000000"/>
              <w:left w:val="single" w:sz="8" w:space="0" w:color="000000"/>
              <w:bottom w:val="single" w:sz="8" w:space="0" w:color="00000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b/>
                <w:bCs/>
              </w:rPr>
            </w:pPr>
            <w:r w:rsidRPr="0067008A">
              <w:rPr>
                <w:rFonts w:ascii="Times New Roman" w:eastAsia="Times New Roman" w:hAnsi="Times New Roman" w:cs="Times New Roman"/>
                <w:b/>
                <w:bCs/>
              </w:rPr>
              <w:t>3.824.418.697</w:t>
            </w:r>
          </w:p>
        </w:tc>
        <w:tc>
          <w:tcPr>
            <w:tcW w:w="1088" w:type="dxa"/>
            <w:tcBorders>
              <w:top w:val="single" w:sz="8" w:space="0" w:color="000000"/>
              <w:left w:val="single" w:sz="8" w:space="0" w:color="000000"/>
              <w:bottom w:val="single" w:sz="8" w:space="0" w:color="00000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b/>
                <w:bCs/>
              </w:rPr>
            </w:pPr>
            <w:r w:rsidRPr="0067008A">
              <w:rPr>
                <w:rFonts w:ascii="Times New Roman" w:eastAsia="Times New Roman" w:hAnsi="Times New Roman" w:cs="Times New Roman"/>
                <w:b/>
                <w:bCs/>
              </w:rPr>
              <w:t>629.498.962</w:t>
            </w:r>
          </w:p>
        </w:tc>
        <w:tc>
          <w:tcPr>
            <w:tcW w:w="1085" w:type="dxa"/>
            <w:tcBorders>
              <w:top w:val="single" w:sz="8" w:space="0" w:color="000000"/>
              <w:left w:val="single" w:sz="8" w:space="0" w:color="000000"/>
              <w:bottom w:val="single" w:sz="8" w:space="0" w:color="00000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b/>
                <w:bCs/>
              </w:rPr>
            </w:pPr>
            <w:r w:rsidRPr="0067008A">
              <w:rPr>
                <w:rFonts w:ascii="Times New Roman" w:eastAsia="Times New Roman" w:hAnsi="Times New Roman" w:cs="Times New Roman"/>
                <w:b/>
                <w:bCs/>
              </w:rPr>
              <w:t>9.468.267</w:t>
            </w:r>
          </w:p>
        </w:tc>
        <w:tc>
          <w:tcPr>
            <w:tcW w:w="1000" w:type="dxa"/>
            <w:tcBorders>
              <w:top w:val="single" w:sz="8" w:space="0" w:color="000000"/>
              <w:left w:val="single" w:sz="8" w:space="0" w:color="000000"/>
              <w:bottom w:val="single" w:sz="8" w:space="0" w:color="00000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b/>
                <w:bCs/>
              </w:rPr>
            </w:pPr>
            <w:r w:rsidRPr="0067008A">
              <w:rPr>
                <w:rFonts w:ascii="Times New Roman" w:eastAsia="Times New Roman" w:hAnsi="Times New Roman" w:cs="Times New Roman"/>
                <w:b/>
                <w:bCs/>
              </w:rPr>
              <w:t>191.612.193</w:t>
            </w:r>
          </w:p>
        </w:tc>
      </w:tr>
    </w:tbl>
    <w:p w:rsidR="006A4D59" w:rsidRPr="0067008A" w:rsidRDefault="00921711" w:rsidP="00677E33">
      <w:pPr>
        <w:spacing w:after="240" w:line="360" w:lineRule="auto"/>
        <w:rPr>
          <w:rFonts w:ascii="Times New Roman" w:hAnsi="Times New Roman" w:cs="Times New Roman"/>
        </w:rPr>
      </w:pPr>
      <w:r w:rsidRPr="0067008A">
        <w:rPr>
          <w:rFonts w:ascii="Times New Roman" w:hAnsi="Times New Roman" w:cs="Times New Roman"/>
        </w:rPr>
        <w:t>Fuente: (SRI 2021)</w:t>
      </w:r>
    </w:p>
    <w:p w:rsidR="006A4D59" w:rsidRPr="0067008A" w:rsidRDefault="00921711" w:rsidP="002E7BE5">
      <w:pPr>
        <w:spacing w:after="240" w:line="360" w:lineRule="auto"/>
        <w:jc w:val="both"/>
        <w:rPr>
          <w:rFonts w:ascii="Times New Roman" w:hAnsi="Times New Roman" w:cs="Times New Roman"/>
        </w:rPr>
      </w:pPr>
      <w:r w:rsidRPr="0067008A">
        <w:rPr>
          <w:rFonts w:ascii="Times New Roman" w:hAnsi="Times New Roman" w:cs="Times New Roman"/>
        </w:rPr>
        <w:t xml:space="preserve">Conforme se había indicado en el año 2015, el comportamiento se repite para el año 2016. De las cerca de 60 empresas que constituyen el grupo, solamente 21 de ellas declaran haber pagado impuesto a la renta. </w:t>
      </w:r>
    </w:p>
    <w:p w:rsidR="006A4D59" w:rsidRPr="0067008A" w:rsidRDefault="00921711" w:rsidP="00677E33">
      <w:pPr>
        <w:pStyle w:val="Descripcin"/>
        <w:keepNext/>
        <w:spacing w:after="240" w:line="360" w:lineRule="auto"/>
        <w:rPr>
          <w:rFonts w:ascii="Times New Roman" w:hAnsi="Times New Roman" w:cs="Times New Roman"/>
          <w:sz w:val="22"/>
          <w:szCs w:val="22"/>
        </w:rPr>
      </w:pPr>
      <w:r w:rsidRPr="0067008A">
        <w:rPr>
          <w:rFonts w:ascii="Times New Roman" w:hAnsi="Times New Roman" w:cs="Times New Roman"/>
          <w:sz w:val="22"/>
          <w:szCs w:val="22"/>
        </w:rPr>
        <w:t xml:space="preserve">Tabla </w:t>
      </w:r>
      <w:r w:rsidRPr="0067008A">
        <w:rPr>
          <w:rFonts w:ascii="Times New Roman" w:hAnsi="Times New Roman" w:cs="Times New Roman"/>
          <w:sz w:val="22"/>
          <w:szCs w:val="22"/>
        </w:rPr>
        <w:fldChar w:fldCharType="begin"/>
      </w:r>
      <w:r w:rsidRPr="0067008A">
        <w:rPr>
          <w:rFonts w:ascii="Times New Roman" w:hAnsi="Times New Roman" w:cs="Times New Roman"/>
          <w:sz w:val="22"/>
          <w:szCs w:val="22"/>
        </w:rPr>
        <w:instrText>SEQ Tabla \* ARABIC</w:instrText>
      </w:r>
      <w:r w:rsidRPr="0067008A">
        <w:rPr>
          <w:rFonts w:ascii="Times New Roman" w:hAnsi="Times New Roman" w:cs="Times New Roman"/>
          <w:sz w:val="22"/>
          <w:szCs w:val="22"/>
        </w:rPr>
        <w:fldChar w:fldCharType="separate"/>
      </w:r>
      <w:r w:rsidR="0029216E" w:rsidRPr="0067008A">
        <w:rPr>
          <w:rFonts w:ascii="Times New Roman" w:hAnsi="Times New Roman" w:cs="Times New Roman"/>
          <w:noProof/>
          <w:sz w:val="22"/>
          <w:szCs w:val="22"/>
        </w:rPr>
        <w:t>10</w:t>
      </w:r>
      <w:r w:rsidRPr="0067008A">
        <w:rPr>
          <w:rFonts w:ascii="Times New Roman" w:hAnsi="Times New Roman" w:cs="Times New Roman"/>
          <w:sz w:val="22"/>
          <w:szCs w:val="22"/>
        </w:rPr>
        <w:fldChar w:fldCharType="end"/>
      </w:r>
      <w:r w:rsidRPr="0067008A">
        <w:rPr>
          <w:rFonts w:ascii="Times New Roman" w:hAnsi="Times New Roman" w:cs="Times New Roman"/>
          <w:sz w:val="22"/>
          <w:szCs w:val="22"/>
        </w:rPr>
        <w:t xml:space="preserve"> Ingresos e impuestos causados, grupo Banco de Guayaquil, año 2016, en USD</w:t>
      </w:r>
    </w:p>
    <w:p w:rsidR="006A4D59" w:rsidRPr="0067008A" w:rsidRDefault="006A4D59" w:rsidP="00677E33">
      <w:pPr>
        <w:spacing w:after="240" w:line="360" w:lineRule="auto"/>
        <w:rPr>
          <w:rFonts w:ascii="Times New Roman" w:hAnsi="Times New Roman" w:cs="Times New Roman"/>
        </w:rPr>
      </w:pPr>
    </w:p>
    <w:tbl>
      <w:tblPr>
        <w:tblW w:w="8964" w:type="dxa"/>
        <w:tblInd w:w="55" w:type="dxa"/>
        <w:tblCellMar>
          <w:left w:w="70" w:type="dxa"/>
          <w:right w:w="70" w:type="dxa"/>
        </w:tblCellMar>
        <w:tblLook w:val="04A0" w:firstRow="1" w:lastRow="0" w:firstColumn="1" w:lastColumn="0" w:noHBand="0" w:noVBand="1"/>
      </w:tblPr>
      <w:tblGrid>
        <w:gridCol w:w="2059"/>
        <w:gridCol w:w="1130"/>
        <w:gridCol w:w="1240"/>
        <w:gridCol w:w="1405"/>
        <w:gridCol w:w="1240"/>
        <w:gridCol w:w="1021"/>
        <w:gridCol w:w="1240"/>
      </w:tblGrid>
      <w:tr w:rsidR="006A4D59" w:rsidRPr="0067008A">
        <w:trPr>
          <w:trHeight w:val="260"/>
        </w:trPr>
        <w:tc>
          <w:tcPr>
            <w:tcW w:w="2585" w:type="dxa"/>
            <w:shd w:val="clear" w:color="auto" w:fill="auto"/>
            <w:vAlign w:val="center"/>
          </w:tcPr>
          <w:p w:rsidR="006A4D59" w:rsidRPr="0067008A" w:rsidRDefault="006A4D59" w:rsidP="00677E33">
            <w:pPr>
              <w:spacing w:after="240" w:line="360" w:lineRule="auto"/>
              <w:rPr>
                <w:rFonts w:ascii="Times New Roman" w:eastAsia="Times New Roman" w:hAnsi="Times New Roman" w:cs="Times New Roman"/>
              </w:rPr>
            </w:pPr>
          </w:p>
        </w:tc>
        <w:tc>
          <w:tcPr>
            <w:tcW w:w="6378" w:type="dxa"/>
            <w:gridSpan w:val="6"/>
            <w:tcBorders>
              <w:top w:val="single" w:sz="8" w:space="0" w:color="808080"/>
              <w:left w:val="single" w:sz="8" w:space="0" w:color="808080"/>
              <w:right w:val="single" w:sz="8" w:space="0" w:color="808080"/>
            </w:tcBorders>
            <w:shd w:val="clear" w:color="000000" w:fill="538DD5"/>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FFFFFF"/>
              </w:rPr>
            </w:pPr>
            <w:r w:rsidRPr="0067008A">
              <w:rPr>
                <w:rFonts w:ascii="Times New Roman" w:eastAsia="Times New Roman" w:hAnsi="Times New Roman" w:cs="Times New Roman"/>
                <w:b/>
                <w:bCs/>
                <w:color w:val="FFFFFF"/>
              </w:rPr>
              <w:t>2016</w:t>
            </w:r>
          </w:p>
        </w:tc>
      </w:tr>
      <w:tr w:rsidR="006A4D59" w:rsidRPr="0067008A">
        <w:trPr>
          <w:trHeight w:val="740"/>
        </w:trPr>
        <w:tc>
          <w:tcPr>
            <w:tcW w:w="2585" w:type="dxa"/>
            <w:tcBorders>
              <w:top w:val="single" w:sz="8" w:space="0" w:color="000000"/>
              <w:left w:val="single" w:sz="4" w:space="0" w:color="000000"/>
              <w:bottom w:val="single" w:sz="4" w:space="0" w:color="000000"/>
              <w:right w:val="single" w:sz="4" w:space="0" w:color="000000"/>
            </w:tcBorders>
            <w:shd w:val="clear" w:color="000000" w:fill="C5D9F1"/>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16365C"/>
              </w:rPr>
            </w:pPr>
            <w:r w:rsidRPr="0067008A">
              <w:rPr>
                <w:rFonts w:ascii="Times New Roman" w:eastAsia="Times New Roman" w:hAnsi="Times New Roman" w:cs="Times New Roman"/>
                <w:b/>
                <w:bCs/>
                <w:color w:val="16365C"/>
              </w:rPr>
              <w:t>Razón Social Integrante</w:t>
            </w:r>
          </w:p>
        </w:tc>
        <w:tc>
          <w:tcPr>
            <w:tcW w:w="1135" w:type="dxa"/>
            <w:tcBorders>
              <w:top w:val="single" w:sz="8" w:space="0" w:color="000000"/>
              <w:bottom w:val="single" w:sz="4" w:space="0" w:color="000000"/>
              <w:right w:val="single" w:sz="4" w:space="0" w:color="000000"/>
            </w:tcBorders>
            <w:shd w:val="clear" w:color="000000" w:fill="0070C0"/>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FFFFFF"/>
              </w:rPr>
            </w:pPr>
            <w:r w:rsidRPr="0067008A">
              <w:rPr>
                <w:rFonts w:ascii="Times New Roman" w:eastAsia="Times New Roman" w:hAnsi="Times New Roman" w:cs="Times New Roman"/>
                <w:b/>
                <w:bCs/>
                <w:color w:val="FFFFFF"/>
              </w:rPr>
              <w:t xml:space="preserve">Total Impuesto a la Renta Causado </w:t>
            </w:r>
          </w:p>
        </w:tc>
        <w:tc>
          <w:tcPr>
            <w:tcW w:w="970" w:type="dxa"/>
            <w:tcBorders>
              <w:top w:val="single" w:sz="8" w:space="0" w:color="000000"/>
              <w:bottom w:val="single" w:sz="4" w:space="0" w:color="000000"/>
              <w:right w:val="single" w:sz="4" w:space="0" w:color="000000"/>
            </w:tcBorders>
            <w:shd w:val="clear" w:color="000000" w:fill="0070C0"/>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FFFFFF"/>
              </w:rPr>
            </w:pPr>
            <w:r w:rsidRPr="0067008A">
              <w:rPr>
                <w:rFonts w:ascii="Times New Roman" w:eastAsia="Times New Roman" w:hAnsi="Times New Roman" w:cs="Times New Roman"/>
                <w:b/>
                <w:bCs/>
                <w:color w:val="FFFFFF"/>
              </w:rPr>
              <w:t xml:space="preserve">Total Ingresos </w:t>
            </w:r>
          </w:p>
        </w:tc>
        <w:tc>
          <w:tcPr>
            <w:tcW w:w="1100" w:type="dxa"/>
            <w:tcBorders>
              <w:top w:val="single" w:sz="8" w:space="0" w:color="000000"/>
              <w:bottom w:val="single" w:sz="4" w:space="0" w:color="000000"/>
              <w:right w:val="single" w:sz="4" w:space="0" w:color="000000"/>
            </w:tcBorders>
            <w:shd w:val="clear" w:color="000000" w:fill="0070C0"/>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FFFFFF"/>
              </w:rPr>
            </w:pPr>
            <w:r w:rsidRPr="0067008A">
              <w:rPr>
                <w:rFonts w:ascii="Times New Roman" w:eastAsia="Times New Roman" w:hAnsi="Times New Roman" w:cs="Times New Roman"/>
                <w:b/>
                <w:bCs/>
                <w:color w:val="FFFFFF"/>
              </w:rPr>
              <w:t xml:space="preserve">Total activo </w:t>
            </w:r>
          </w:p>
        </w:tc>
        <w:tc>
          <w:tcPr>
            <w:tcW w:w="1088" w:type="dxa"/>
            <w:tcBorders>
              <w:top w:val="single" w:sz="8" w:space="0" w:color="000000"/>
              <w:bottom w:val="single" w:sz="4" w:space="0" w:color="000000"/>
              <w:right w:val="single" w:sz="4" w:space="0" w:color="000000"/>
            </w:tcBorders>
            <w:shd w:val="clear" w:color="000000" w:fill="0070C0"/>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FFFFFF"/>
              </w:rPr>
            </w:pPr>
            <w:r w:rsidRPr="0067008A">
              <w:rPr>
                <w:rFonts w:ascii="Times New Roman" w:eastAsia="Times New Roman" w:hAnsi="Times New Roman" w:cs="Times New Roman"/>
                <w:b/>
                <w:bCs/>
                <w:color w:val="FFFFFF"/>
              </w:rPr>
              <w:t xml:space="preserve">Total patrimonio neto </w:t>
            </w:r>
          </w:p>
        </w:tc>
        <w:tc>
          <w:tcPr>
            <w:tcW w:w="1085" w:type="dxa"/>
            <w:tcBorders>
              <w:top w:val="single" w:sz="8" w:space="0" w:color="000000"/>
              <w:bottom w:val="single" w:sz="4" w:space="0" w:color="000000"/>
              <w:right w:val="single" w:sz="4" w:space="0" w:color="000000"/>
            </w:tcBorders>
            <w:shd w:val="clear" w:color="000000" w:fill="0070C0"/>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FFFFFF"/>
              </w:rPr>
            </w:pPr>
            <w:r w:rsidRPr="0067008A">
              <w:rPr>
                <w:rFonts w:ascii="Times New Roman" w:eastAsia="Times New Roman" w:hAnsi="Times New Roman" w:cs="Times New Roman"/>
                <w:b/>
                <w:bCs/>
                <w:color w:val="FFFFFF"/>
              </w:rPr>
              <w:t>Impuesto a los Activos en el Exterior</w:t>
            </w:r>
          </w:p>
        </w:tc>
        <w:tc>
          <w:tcPr>
            <w:tcW w:w="1000" w:type="dxa"/>
            <w:tcBorders>
              <w:top w:val="single" w:sz="8" w:space="0" w:color="000000"/>
              <w:bottom w:val="single" w:sz="4" w:space="0" w:color="000000"/>
              <w:right w:val="single" w:sz="4" w:space="0" w:color="000000"/>
            </w:tcBorders>
            <w:shd w:val="clear" w:color="000000" w:fill="0070C0"/>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FFFFFF"/>
              </w:rPr>
            </w:pPr>
            <w:r w:rsidRPr="0067008A">
              <w:rPr>
                <w:rFonts w:ascii="Times New Roman" w:eastAsia="Times New Roman" w:hAnsi="Times New Roman" w:cs="Times New Roman"/>
                <w:b/>
                <w:bCs/>
                <w:color w:val="FFFFFF"/>
              </w:rPr>
              <w:t xml:space="preserve">Total Recaudado </w:t>
            </w:r>
          </w:p>
        </w:tc>
      </w:tr>
      <w:tr w:rsidR="006A4D59" w:rsidRPr="0067008A">
        <w:trPr>
          <w:trHeight w:val="24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BANCO GUAYAQUIL S.A.</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9.503.013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419.584.691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3.908.326.477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422.613.124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8.991.287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172.632.386 </w:t>
            </w:r>
          </w:p>
        </w:tc>
      </w:tr>
      <w:tr w:rsidR="006A4D59" w:rsidRPr="0067008A">
        <w:trPr>
          <w:trHeight w:val="24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ARTES GRAFICAS SENEFELDER C.A.</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338.305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34.608.717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32.293.216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7.123.167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1.291.855 </w:t>
            </w:r>
          </w:p>
        </w:tc>
      </w:tr>
      <w:tr w:rsidR="006A4D59" w:rsidRPr="0067008A">
        <w:trPr>
          <w:trHeight w:val="24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LIVERCOSTAS S.A.</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67.320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4.766.747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1.464.321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872.818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515.280 </w:t>
            </w:r>
          </w:p>
        </w:tc>
      </w:tr>
      <w:tr w:rsidR="006A4D59" w:rsidRPr="0067008A">
        <w:trPr>
          <w:trHeight w:val="48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LASSO MENDOZA GUILLERMO ALBERTO SANTIAGO</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573.553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1.688.951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48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MERCANTIL DE ADMINISTRACION GLM</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1.361.233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20.187.729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20.187.721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301.775 </w:t>
            </w:r>
          </w:p>
        </w:tc>
      </w:tr>
      <w:tr w:rsidR="006A4D59" w:rsidRPr="0067008A">
        <w:trPr>
          <w:trHeight w:val="48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YOU TRAVEL AGENCY S.A. YTA AGENCIA DE VIAJES Y TURISMO</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25.194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1.049.380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613.524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426.087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131.092 </w:t>
            </w:r>
          </w:p>
        </w:tc>
      </w:tr>
      <w:tr w:rsidR="006A4D59" w:rsidRPr="0067008A">
        <w:trPr>
          <w:trHeight w:val="24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LASSO MENDOZA MARIA EUGENIA</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233.785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740.590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24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LASSO MENDOZA CARLOS JORGE</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204.351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687.909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192.324 </w:t>
            </w:r>
          </w:p>
        </w:tc>
      </w:tr>
      <w:tr w:rsidR="006A4D59" w:rsidRPr="0067008A">
        <w:trPr>
          <w:trHeight w:val="48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MERCANTIL DE ADMINISTRACION MELM</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595.943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9.064.403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9.047.827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121.885 </w:t>
            </w:r>
          </w:p>
        </w:tc>
      </w:tr>
      <w:tr w:rsidR="006A4D59" w:rsidRPr="0067008A">
        <w:trPr>
          <w:trHeight w:val="72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ADMINISTRACION E INVERSION DE BIENES DE CAPITALES TRES</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6.354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538.238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417.341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84.657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6.382 </w:t>
            </w:r>
          </w:p>
        </w:tc>
      </w:tr>
      <w:tr w:rsidR="006A4D59" w:rsidRPr="0067008A">
        <w:trPr>
          <w:trHeight w:val="48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MERCANTIL DE ADMINISTRACION CLM-MMS</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507.126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7.523.005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7.523.005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101.734 </w:t>
            </w:r>
          </w:p>
        </w:tc>
      </w:tr>
      <w:tr w:rsidR="006A4D59" w:rsidRPr="0067008A">
        <w:trPr>
          <w:trHeight w:val="24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PROMOQUIL S.A.</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327.763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14.354.627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14.354.627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336 </w:t>
            </w:r>
          </w:p>
        </w:tc>
      </w:tr>
      <w:tr w:rsidR="006A4D59" w:rsidRPr="0067008A">
        <w:trPr>
          <w:trHeight w:val="24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CARRERA DROUET DANILO EDUARDO</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63.142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253.066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53.208 </w:t>
            </w:r>
          </w:p>
        </w:tc>
      </w:tr>
      <w:tr w:rsidR="006A4D59" w:rsidRPr="0067008A">
        <w:trPr>
          <w:trHeight w:val="24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MUÑOZ SALGADO MERCEDES LEONOR</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15.079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125.601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5.350 </w:t>
            </w:r>
          </w:p>
        </w:tc>
      </w:tr>
      <w:tr w:rsidR="006A4D59" w:rsidRPr="0067008A">
        <w:trPr>
          <w:trHeight w:val="48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MERCANTIL DE ADMINISTRACION DCD-UNO</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122.869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1.702.897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1.699.231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12.128 </w:t>
            </w:r>
          </w:p>
        </w:tc>
      </w:tr>
      <w:tr w:rsidR="006A4D59" w:rsidRPr="0067008A">
        <w:trPr>
          <w:trHeight w:val="48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DE ADMINISTRACION DE INMUEBLE OASIS</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709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87.344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88.943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(11.896)</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709 </w:t>
            </w:r>
          </w:p>
        </w:tc>
      </w:tr>
      <w:tr w:rsidR="006A4D59" w:rsidRPr="0067008A">
        <w:trPr>
          <w:trHeight w:val="48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MERCANTIL DE ADMINISTRACION DCD-DOS</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81.913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1.136.136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1.133.610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3.789 </w:t>
            </w:r>
          </w:p>
        </w:tc>
      </w:tr>
      <w:tr w:rsidR="006A4D59" w:rsidRPr="0067008A">
        <w:trPr>
          <w:trHeight w:val="24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CARRERA LASSO ANA MARIA</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7.621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63.760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5.021 </w:t>
            </w:r>
          </w:p>
        </w:tc>
      </w:tr>
      <w:tr w:rsidR="006A4D59" w:rsidRPr="0067008A">
        <w:trPr>
          <w:trHeight w:val="48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GRUPO CORPORATIVO YOU YOUCORP S.A.</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338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33.684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262.916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262.916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24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BROTHER'S INVESTMENT LTD.</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20.058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32.400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3.370.314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3.370.314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42.052 </w:t>
            </w:r>
          </w:p>
        </w:tc>
      </w:tr>
      <w:tr w:rsidR="006A4D59" w:rsidRPr="0067008A">
        <w:trPr>
          <w:trHeight w:val="48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INMOBILIARIO BG DOS MIL NUEVE</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4.405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17.000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740.396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339.480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4.429 </w:t>
            </w:r>
          </w:p>
        </w:tc>
      </w:tr>
      <w:tr w:rsidR="006A4D59" w:rsidRPr="0067008A">
        <w:trPr>
          <w:trHeight w:val="24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CORPORACION MULTIBG S.A.</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138.287.362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135.556.917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508 </w:t>
            </w:r>
          </w:p>
        </w:tc>
      </w:tr>
      <w:tr w:rsidR="006A4D59" w:rsidRPr="0067008A">
        <w:trPr>
          <w:trHeight w:val="72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MERCANTIL DE ADMINISTRACION E INVERSION PERTENENCIA BG</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7.426.007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7.419.226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3.357 </w:t>
            </w:r>
          </w:p>
        </w:tc>
      </w:tr>
      <w:tr w:rsidR="006A4D59" w:rsidRPr="0067008A">
        <w:trPr>
          <w:trHeight w:val="24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ACTIVOS DOS MIL CUATRO</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241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7.333.529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7.333.248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241 </w:t>
            </w:r>
          </w:p>
        </w:tc>
      </w:tr>
      <w:tr w:rsidR="006A4D59" w:rsidRPr="0067008A">
        <w:trPr>
          <w:trHeight w:val="48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MERCANTIL DE GARANTIA DE VEHICULO BG</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6.302.832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6.302.832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28.057 </w:t>
            </w:r>
          </w:p>
        </w:tc>
      </w:tr>
      <w:tr w:rsidR="006A4D59" w:rsidRPr="0067008A">
        <w:trPr>
          <w:trHeight w:val="24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ARBOLEDA DEL SALADO</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3.591.897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3.591.897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24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HOLDING ANMACALGRUP S.A.</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2.541.534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618.192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27.656 </w:t>
            </w:r>
          </w:p>
        </w:tc>
      </w:tr>
      <w:tr w:rsidR="006A4D59" w:rsidRPr="0067008A">
        <w:trPr>
          <w:trHeight w:val="48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BG INMUEBLES CERO CERO UNO</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1.301.697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1.019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48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DE ADMINISTRACION PROYECTO GYD</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1.269.303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919.275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2.471 </w:t>
            </w:r>
          </w:p>
        </w:tc>
      </w:tr>
      <w:tr w:rsidR="006A4D59" w:rsidRPr="0067008A">
        <w:trPr>
          <w:trHeight w:val="24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MERCANTIL CAPAES</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1.198.619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1.198.619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72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MERCANTIL DE ADMINISTRACION Y GARANTIA MANUEL EDMUNDO GUTIERREZ OCHOA</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1.060.381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1.060.381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24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SOUTH PACIFIC INVESTORS LTD</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4.908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923.397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450.440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13.935 </w:t>
            </w:r>
          </w:p>
        </w:tc>
      </w:tr>
      <w:tr w:rsidR="006A4D59" w:rsidRPr="0067008A">
        <w:trPr>
          <w:trHeight w:val="24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MULTIPREDIOS UNO</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5.735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883.960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883.960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6.185 </w:t>
            </w:r>
          </w:p>
        </w:tc>
      </w:tr>
      <w:tr w:rsidR="006A4D59" w:rsidRPr="0067008A">
        <w:trPr>
          <w:trHeight w:val="48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MERCANTIL DE FLUJOS Y PAGOS JBG</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629.983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629.933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151 </w:t>
            </w:r>
          </w:p>
        </w:tc>
      </w:tr>
      <w:tr w:rsidR="006A4D59" w:rsidRPr="0067008A">
        <w:trPr>
          <w:trHeight w:val="48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DE ADMINISTRACION DE RECURSOS ROBUSTASA</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452.905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452.905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48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MERCANTIL DE ADMINISTRACION CLM MMS DOS</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418.951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418.951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48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INMOBILIARIO BG DOS MIL CUATRO</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228.955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71.860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24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GUZMAN CALERO</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153.736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153.736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48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DE ADMINISTRACION MANHATTAN</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88.689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12.957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1.379 </w:t>
            </w:r>
          </w:p>
        </w:tc>
      </w:tr>
      <w:tr w:rsidR="006A4D59" w:rsidRPr="0067008A">
        <w:trPr>
          <w:trHeight w:val="72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MERCANTIL DE ADMINISTRACION DE FLUJOS Y PAGOS HOUSE SPORT I</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30.895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30.890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53 </w:t>
            </w:r>
          </w:p>
        </w:tc>
      </w:tr>
      <w:tr w:rsidR="006A4D59" w:rsidRPr="0067008A">
        <w:trPr>
          <w:trHeight w:val="48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DE ADMINISTRACION DE INMUEBLE BARANDUA III</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107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27.729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(7.036)</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109 </w:t>
            </w:r>
          </w:p>
        </w:tc>
      </w:tr>
      <w:tr w:rsidR="006A4D59" w:rsidRPr="0067008A">
        <w:trPr>
          <w:trHeight w:val="48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MERCANTIL DE FLUJOS Y PAGOS EL UNIVERSO</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26.163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26.155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101 </w:t>
            </w:r>
          </w:p>
        </w:tc>
      </w:tr>
      <w:tr w:rsidR="006A4D59" w:rsidRPr="0067008A">
        <w:trPr>
          <w:trHeight w:val="72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MERCANTIL DE ADMINISTRACION Y PAGOS EXPOGUAYAQUIL</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24.838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24.830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25 </w:t>
            </w:r>
          </w:p>
        </w:tc>
      </w:tr>
      <w:tr w:rsidR="006A4D59" w:rsidRPr="0067008A">
        <w:trPr>
          <w:trHeight w:val="24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SOLOMONCORP S.A.</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50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8.946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8.946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52 </w:t>
            </w:r>
          </w:p>
        </w:tc>
      </w:tr>
      <w:tr w:rsidR="006A4D59" w:rsidRPr="0067008A">
        <w:trPr>
          <w:trHeight w:val="48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MERCANTIL DE FLUJOS Y PAGOS FILCASA</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1.589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500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48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MERCANTIL DE FLUJOS Y PAGOS GUIMSA</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1.530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1.527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18 </w:t>
            </w:r>
          </w:p>
        </w:tc>
      </w:tr>
      <w:tr w:rsidR="006A4D59" w:rsidRPr="0067008A">
        <w:trPr>
          <w:trHeight w:val="24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SENEFELDER DOS</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1.241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1.000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48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DE ADMINISTRACION DE FLUJOS Y PAGOS ECUATORIANO SUIZA</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1.229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1.229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48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MERCANTIL DE FLUJOS Y PAGOS AGROPERKINS</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475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475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72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MERCANTIL DE ADMINISTRACION Y PAGOS LATINOEXPRESS - BG</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63 </w:t>
            </w:r>
          </w:p>
        </w:tc>
      </w:tr>
      <w:tr w:rsidR="006A4D59" w:rsidRPr="0067008A">
        <w:trPr>
          <w:trHeight w:val="48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MERCANTIL DE FLUJOS Y PAGOS INT FOOD SERVICES CORP</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14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14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83 </w:t>
            </w:r>
          </w:p>
        </w:tc>
      </w:tr>
      <w:tr w:rsidR="006A4D59" w:rsidRPr="0067008A">
        <w:trPr>
          <w:trHeight w:val="24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ALCIVAR CRESPO MARIA DE LOURDES</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48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MERCANTIL DE FLUJOS Y PAGOS DISMUNDI</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24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LASSO ALCIVAR GUILLERMO ENRIQUE</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5.890 </w:t>
            </w:r>
          </w:p>
        </w:tc>
      </w:tr>
      <w:tr w:rsidR="006A4D59" w:rsidRPr="0067008A">
        <w:trPr>
          <w:trHeight w:val="24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LASSO ALCIVAR MARIA DE LOURDES</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24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LASSO ALCIVAR MARIA MERCEDES</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24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LASSO ALCIVAR SANTIAGO XAVIER</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24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BANISI HOLDING</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24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BANISI</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rPr>
            </w:pPr>
            <w:r w:rsidRPr="0067008A">
              <w:rPr>
                <w:rFonts w:ascii="Times New Roman" w:eastAsia="Times New Roman" w:hAnsi="Times New Roman" w:cs="Times New Roman"/>
              </w:rPr>
              <w:t xml:space="preserve"> -</w:t>
            </w:r>
            <w:r w:rsidR="00677E33" w:rsidRPr="0067008A">
              <w:rPr>
                <w:rFonts w:ascii="Times New Roman" w:eastAsia="Times New Roman" w:hAnsi="Times New Roman" w:cs="Times New Roman"/>
              </w:rPr>
              <w:t xml:space="preserve"> </w:t>
            </w:r>
          </w:p>
        </w:tc>
      </w:tr>
      <w:tr w:rsidR="006A4D59" w:rsidRPr="0067008A">
        <w:trPr>
          <w:trHeight w:val="260"/>
        </w:trPr>
        <w:tc>
          <w:tcPr>
            <w:tcW w:w="2585" w:type="dxa"/>
            <w:tcBorders>
              <w:left w:val="single" w:sz="4" w:space="0" w:color="80808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 </w:t>
            </w:r>
          </w:p>
        </w:tc>
        <w:tc>
          <w:tcPr>
            <w:tcW w:w="1135" w:type="dxa"/>
            <w:tcBorders>
              <w:left w:val="single" w:sz="8" w:space="0" w:color="000000"/>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 </w:t>
            </w:r>
          </w:p>
        </w:tc>
        <w:tc>
          <w:tcPr>
            <w:tcW w:w="970" w:type="dxa"/>
            <w:tcBorders>
              <w:bottom w:val="single" w:sz="4" w:space="0" w:color="808080"/>
              <w:right w:val="single" w:sz="4" w:space="0" w:color="808080"/>
            </w:tcBorders>
            <w:shd w:val="clear" w:color="000000" w:fill="F2F2F2"/>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 </w:t>
            </w:r>
          </w:p>
        </w:tc>
        <w:tc>
          <w:tcPr>
            <w:tcW w:w="11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 </w:t>
            </w:r>
          </w:p>
        </w:tc>
        <w:tc>
          <w:tcPr>
            <w:tcW w:w="1088"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 </w:t>
            </w:r>
          </w:p>
        </w:tc>
        <w:tc>
          <w:tcPr>
            <w:tcW w:w="1085"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 </w:t>
            </w:r>
          </w:p>
        </w:tc>
        <w:tc>
          <w:tcPr>
            <w:tcW w:w="1000" w:type="dxa"/>
            <w:tcBorders>
              <w:bottom w:val="single" w:sz="4" w:space="0" w:color="808080"/>
              <w:right w:val="single" w:sz="4" w:space="0" w:color="808080"/>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 </w:t>
            </w:r>
          </w:p>
        </w:tc>
      </w:tr>
      <w:tr w:rsidR="006A4D59" w:rsidRPr="0067008A">
        <w:trPr>
          <w:trHeight w:val="260"/>
        </w:trPr>
        <w:tc>
          <w:tcPr>
            <w:tcW w:w="2585" w:type="dxa"/>
            <w:tcBorders>
              <w:top w:val="single" w:sz="8" w:space="0" w:color="000000"/>
              <w:left w:val="single" w:sz="4" w:space="0" w:color="808080"/>
              <w:bottom w:val="single" w:sz="8" w:space="0" w:color="000000"/>
              <w:right w:val="single" w:sz="4" w:space="0" w:color="808080"/>
            </w:tcBorders>
            <w:shd w:val="clear" w:color="auto" w:fill="auto"/>
            <w:vAlign w:val="center"/>
          </w:tcPr>
          <w:p w:rsidR="006A4D59" w:rsidRPr="0067008A" w:rsidRDefault="00921711" w:rsidP="00677E33">
            <w:pPr>
              <w:spacing w:after="240" w:line="360" w:lineRule="auto"/>
              <w:jc w:val="center"/>
              <w:rPr>
                <w:rFonts w:ascii="Times New Roman" w:eastAsia="Times New Roman" w:hAnsi="Times New Roman" w:cs="Times New Roman"/>
                <w:b/>
                <w:bCs/>
              </w:rPr>
            </w:pPr>
            <w:r w:rsidRPr="0067008A">
              <w:rPr>
                <w:rFonts w:ascii="Times New Roman" w:eastAsia="Times New Roman" w:hAnsi="Times New Roman" w:cs="Times New Roman"/>
                <w:b/>
                <w:bCs/>
              </w:rPr>
              <w:t>TOTAL</w:t>
            </w:r>
          </w:p>
        </w:tc>
        <w:tc>
          <w:tcPr>
            <w:tcW w:w="1135" w:type="dxa"/>
            <w:tcBorders>
              <w:top w:val="single" w:sz="8" w:space="0" w:color="000000"/>
              <w:left w:val="single" w:sz="8" w:space="0" w:color="000000"/>
              <w:bottom w:val="single" w:sz="8" w:space="0" w:color="00000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b/>
                <w:bCs/>
              </w:rPr>
            </w:pPr>
            <w:r w:rsidRPr="0067008A">
              <w:rPr>
                <w:rFonts w:ascii="Times New Roman" w:eastAsia="Times New Roman" w:hAnsi="Times New Roman" w:cs="Times New Roman"/>
                <w:b/>
                <w:bCs/>
              </w:rPr>
              <w:t>11.074.268</w:t>
            </w:r>
          </w:p>
        </w:tc>
        <w:tc>
          <w:tcPr>
            <w:tcW w:w="970" w:type="dxa"/>
            <w:tcBorders>
              <w:top w:val="single" w:sz="8" w:space="0" w:color="000000"/>
              <w:left w:val="single" w:sz="8" w:space="0" w:color="000000"/>
              <w:bottom w:val="single" w:sz="8" w:space="0" w:color="00000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b/>
                <w:bCs/>
              </w:rPr>
            </w:pPr>
            <w:r w:rsidRPr="0067008A">
              <w:rPr>
                <w:rFonts w:ascii="Times New Roman" w:eastAsia="Times New Roman" w:hAnsi="Times New Roman" w:cs="Times New Roman"/>
                <w:b/>
                <w:bCs/>
              </w:rPr>
              <w:t>467.274.925</w:t>
            </w:r>
          </w:p>
        </w:tc>
        <w:tc>
          <w:tcPr>
            <w:tcW w:w="1100" w:type="dxa"/>
            <w:tcBorders>
              <w:top w:val="single" w:sz="8" w:space="0" w:color="000000"/>
              <w:left w:val="single" w:sz="8" w:space="0" w:color="000000"/>
              <w:bottom w:val="single" w:sz="8" w:space="0" w:color="00000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b/>
                <w:bCs/>
              </w:rPr>
            </w:pPr>
            <w:r w:rsidRPr="0067008A">
              <w:rPr>
                <w:rFonts w:ascii="Times New Roman" w:eastAsia="Times New Roman" w:hAnsi="Times New Roman" w:cs="Times New Roman"/>
                <w:b/>
                <w:bCs/>
              </w:rPr>
              <w:t>4.175.764.646</w:t>
            </w:r>
          </w:p>
        </w:tc>
        <w:tc>
          <w:tcPr>
            <w:tcW w:w="1088" w:type="dxa"/>
            <w:tcBorders>
              <w:top w:val="single" w:sz="8" w:space="0" w:color="000000"/>
              <w:left w:val="single" w:sz="8" w:space="0" w:color="000000"/>
              <w:bottom w:val="single" w:sz="8" w:space="0" w:color="00000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b/>
                <w:bCs/>
              </w:rPr>
            </w:pPr>
            <w:r w:rsidRPr="0067008A">
              <w:rPr>
                <w:rFonts w:ascii="Times New Roman" w:eastAsia="Times New Roman" w:hAnsi="Times New Roman" w:cs="Times New Roman"/>
                <w:b/>
                <w:bCs/>
              </w:rPr>
              <w:t>656.191.566</w:t>
            </w:r>
          </w:p>
        </w:tc>
        <w:tc>
          <w:tcPr>
            <w:tcW w:w="1085" w:type="dxa"/>
            <w:tcBorders>
              <w:top w:val="single" w:sz="8" w:space="0" w:color="000000"/>
              <w:left w:val="single" w:sz="8" w:space="0" w:color="000000"/>
              <w:bottom w:val="single" w:sz="8" w:space="0" w:color="00000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b/>
                <w:bCs/>
              </w:rPr>
            </w:pPr>
            <w:r w:rsidRPr="0067008A">
              <w:rPr>
                <w:rFonts w:ascii="Times New Roman" w:eastAsia="Times New Roman" w:hAnsi="Times New Roman" w:cs="Times New Roman"/>
                <w:b/>
                <w:bCs/>
              </w:rPr>
              <w:t>8.991.287</w:t>
            </w:r>
          </w:p>
        </w:tc>
        <w:tc>
          <w:tcPr>
            <w:tcW w:w="1000" w:type="dxa"/>
            <w:tcBorders>
              <w:top w:val="single" w:sz="8" w:space="0" w:color="000000"/>
              <w:left w:val="single" w:sz="8" w:space="0" w:color="000000"/>
              <w:bottom w:val="single" w:sz="8" w:space="0" w:color="000000"/>
              <w:right w:val="single" w:sz="4" w:space="0" w:color="808080"/>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b/>
                <w:bCs/>
              </w:rPr>
            </w:pPr>
            <w:r w:rsidRPr="0067008A">
              <w:rPr>
                <w:rFonts w:ascii="Times New Roman" w:eastAsia="Times New Roman" w:hAnsi="Times New Roman" w:cs="Times New Roman"/>
                <w:b/>
                <w:bCs/>
              </w:rPr>
              <w:t>175.512.069</w:t>
            </w:r>
          </w:p>
        </w:tc>
      </w:tr>
    </w:tbl>
    <w:p w:rsidR="006A4D59" w:rsidRPr="0067008A" w:rsidRDefault="00921711" w:rsidP="00677E33">
      <w:pPr>
        <w:spacing w:after="240" w:line="360" w:lineRule="auto"/>
        <w:rPr>
          <w:rFonts w:ascii="Times New Roman" w:hAnsi="Times New Roman" w:cs="Times New Roman"/>
        </w:rPr>
      </w:pPr>
      <w:r w:rsidRPr="0067008A">
        <w:rPr>
          <w:rFonts w:ascii="Times New Roman" w:hAnsi="Times New Roman" w:cs="Times New Roman"/>
        </w:rPr>
        <w:t>Fuente: (SRI 2021)</w:t>
      </w:r>
    </w:p>
    <w:p w:rsidR="006A4D59" w:rsidRPr="0067008A" w:rsidRDefault="006A4D59" w:rsidP="00677E33">
      <w:pPr>
        <w:spacing w:after="240" w:line="360" w:lineRule="auto"/>
        <w:rPr>
          <w:rFonts w:ascii="Times New Roman" w:hAnsi="Times New Roman" w:cs="Times New Roman"/>
        </w:rPr>
      </w:pPr>
    </w:p>
    <w:p w:rsidR="006A4D59" w:rsidRPr="0067008A" w:rsidRDefault="006A4D59" w:rsidP="00677E33">
      <w:pPr>
        <w:spacing w:after="240" w:line="360" w:lineRule="auto"/>
        <w:rPr>
          <w:rFonts w:ascii="Times New Roman" w:hAnsi="Times New Roman" w:cs="Times New Roman"/>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En el año 2017, solamente 13 empresas del grupo manifiestan haber pagado impuesto a la renta, conforme el siguiente cuadro:</w:t>
      </w:r>
    </w:p>
    <w:p w:rsidR="006A4D59" w:rsidRPr="0067008A" w:rsidRDefault="006A4D59" w:rsidP="00677E33">
      <w:pPr>
        <w:spacing w:after="240" w:line="360" w:lineRule="auto"/>
        <w:rPr>
          <w:rFonts w:ascii="Times New Roman" w:hAnsi="Times New Roman" w:cs="Times New Roman"/>
        </w:rPr>
      </w:pPr>
    </w:p>
    <w:p w:rsidR="006A4D59" w:rsidRPr="0067008A" w:rsidRDefault="00921711" w:rsidP="00677E33">
      <w:pPr>
        <w:pStyle w:val="Descripcin"/>
        <w:spacing w:after="240" w:line="360" w:lineRule="auto"/>
        <w:rPr>
          <w:rFonts w:ascii="Times New Roman" w:hAnsi="Times New Roman" w:cs="Times New Roman"/>
          <w:sz w:val="22"/>
          <w:szCs w:val="22"/>
        </w:rPr>
      </w:pPr>
      <w:r w:rsidRPr="0067008A">
        <w:rPr>
          <w:rFonts w:ascii="Times New Roman" w:hAnsi="Times New Roman" w:cs="Times New Roman"/>
          <w:sz w:val="22"/>
          <w:szCs w:val="22"/>
        </w:rPr>
        <w:t xml:space="preserve">Tabla </w:t>
      </w:r>
      <w:r w:rsidRPr="0067008A">
        <w:rPr>
          <w:rFonts w:ascii="Times New Roman" w:hAnsi="Times New Roman" w:cs="Times New Roman"/>
          <w:sz w:val="22"/>
          <w:szCs w:val="22"/>
        </w:rPr>
        <w:fldChar w:fldCharType="begin"/>
      </w:r>
      <w:r w:rsidRPr="0067008A">
        <w:rPr>
          <w:rFonts w:ascii="Times New Roman" w:hAnsi="Times New Roman" w:cs="Times New Roman"/>
          <w:sz w:val="22"/>
          <w:szCs w:val="22"/>
        </w:rPr>
        <w:instrText>SEQ Tabla \* ARABIC</w:instrText>
      </w:r>
      <w:r w:rsidRPr="0067008A">
        <w:rPr>
          <w:rFonts w:ascii="Times New Roman" w:hAnsi="Times New Roman" w:cs="Times New Roman"/>
          <w:sz w:val="22"/>
          <w:szCs w:val="22"/>
        </w:rPr>
        <w:fldChar w:fldCharType="separate"/>
      </w:r>
      <w:r w:rsidR="0029216E" w:rsidRPr="0067008A">
        <w:rPr>
          <w:rFonts w:ascii="Times New Roman" w:hAnsi="Times New Roman" w:cs="Times New Roman"/>
          <w:noProof/>
          <w:sz w:val="22"/>
          <w:szCs w:val="22"/>
        </w:rPr>
        <w:t>11</w:t>
      </w:r>
      <w:r w:rsidRPr="0067008A">
        <w:rPr>
          <w:rFonts w:ascii="Times New Roman" w:hAnsi="Times New Roman" w:cs="Times New Roman"/>
          <w:sz w:val="22"/>
          <w:szCs w:val="22"/>
        </w:rPr>
        <w:fldChar w:fldCharType="end"/>
      </w:r>
      <w:r w:rsidRPr="0067008A">
        <w:rPr>
          <w:rFonts w:ascii="Times New Roman" w:hAnsi="Times New Roman" w:cs="Times New Roman"/>
          <w:sz w:val="22"/>
          <w:szCs w:val="22"/>
        </w:rPr>
        <w:t xml:space="preserve"> Ingresos e impuestos causados, grupo Banco de Guayaquil, año 2017, en USD</w:t>
      </w:r>
    </w:p>
    <w:tbl>
      <w:tblPr>
        <w:tblW w:w="9426" w:type="dxa"/>
        <w:tblCellMar>
          <w:left w:w="70" w:type="dxa"/>
          <w:right w:w="70" w:type="dxa"/>
        </w:tblCellMar>
        <w:tblLook w:val="04A0" w:firstRow="1" w:lastRow="0" w:firstColumn="1" w:lastColumn="0" w:noHBand="0" w:noVBand="1"/>
      </w:tblPr>
      <w:tblGrid>
        <w:gridCol w:w="2128"/>
        <w:gridCol w:w="1148"/>
        <w:gridCol w:w="1240"/>
        <w:gridCol w:w="1405"/>
        <w:gridCol w:w="1240"/>
        <w:gridCol w:w="1021"/>
        <w:gridCol w:w="1244"/>
      </w:tblGrid>
      <w:tr w:rsidR="006A4D59" w:rsidRPr="0067008A">
        <w:trPr>
          <w:trHeight w:val="1400"/>
        </w:trPr>
        <w:tc>
          <w:tcPr>
            <w:tcW w:w="2622" w:type="dxa"/>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b/>
                <w:bCs/>
                <w:color w:val="0F243E"/>
              </w:rPr>
            </w:pPr>
            <w:r w:rsidRPr="0067008A">
              <w:rPr>
                <w:rFonts w:ascii="Times New Roman" w:eastAsia="Times New Roman" w:hAnsi="Times New Roman" w:cs="Times New Roman"/>
                <w:b/>
                <w:bCs/>
                <w:color w:val="0F243E"/>
              </w:rPr>
              <w:t>Razón Social Integrante</w:t>
            </w:r>
          </w:p>
          <w:p w:rsidR="006A4D59" w:rsidRPr="0067008A" w:rsidRDefault="006A4D59" w:rsidP="00677E33">
            <w:pPr>
              <w:spacing w:after="240" w:line="360" w:lineRule="auto"/>
              <w:rPr>
                <w:rFonts w:ascii="Times New Roman" w:eastAsia="Times New Roman" w:hAnsi="Times New Roman" w:cs="Times New Roman"/>
                <w:color w:val="000000"/>
              </w:rPr>
            </w:pPr>
          </w:p>
        </w:tc>
        <w:tc>
          <w:tcPr>
            <w:tcW w:w="1276" w:type="dxa"/>
            <w:tcBorders>
              <w:top w:val="single" w:sz="4" w:space="0" w:color="8DB4E2"/>
              <w:left w:val="single" w:sz="4" w:space="0" w:color="8DB4E2"/>
              <w:bottom w:val="single" w:sz="4" w:space="0" w:color="8DB4E2"/>
              <w:right w:val="single" w:sz="4" w:space="0" w:color="8DB4E2"/>
            </w:tcBorders>
            <w:shd w:val="clear" w:color="000000" w:fill="0070C0"/>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FFFFFF"/>
              </w:rPr>
            </w:pPr>
            <w:r w:rsidRPr="0067008A">
              <w:rPr>
                <w:rFonts w:ascii="Times New Roman" w:eastAsia="Times New Roman" w:hAnsi="Times New Roman" w:cs="Times New Roman"/>
                <w:b/>
                <w:bCs/>
                <w:color w:val="FFFFFF"/>
              </w:rPr>
              <w:t>Total Impuesto a la Renta Causado 2017</w:t>
            </w:r>
          </w:p>
        </w:tc>
        <w:tc>
          <w:tcPr>
            <w:tcW w:w="993" w:type="dxa"/>
            <w:tcBorders>
              <w:top w:val="single" w:sz="4" w:space="0" w:color="8DB4E2"/>
              <w:bottom w:val="single" w:sz="4" w:space="0" w:color="8DB4E2"/>
              <w:right w:val="single" w:sz="4" w:space="0" w:color="8DB4E2"/>
            </w:tcBorders>
            <w:shd w:val="clear" w:color="000000" w:fill="0070C0"/>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FFFFFF"/>
              </w:rPr>
            </w:pPr>
            <w:r w:rsidRPr="0067008A">
              <w:rPr>
                <w:rFonts w:ascii="Times New Roman" w:eastAsia="Times New Roman" w:hAnsi="Times New Roman" w:cs="Times New Roman"/>
                <w:b/>
                <w:bCs/>
                <w:color w:val="FFFFFF"/>
              </w:rPr>
              <w:t>Total Ingresos 2017</w:t>
            </w:r>
          </w:p>
        </w:tc>
        <w:tc>
          <w:tcPr>
            <w:tcW w:w="1134" w:type="dxa"/>
            <w:tcBorders>
              <w:top w:val="single" w:sz="4" w:space="0" w:color="8DB4E2"/>
              <w:bottom w:val="single" w:sz="4" w:space="0" w:color="8DB4E2"/>
              <w:right w:val="single" w:sz="4" w:space="0" w:color="8DB4E2"/>
            </w:tcBorders>
            <w:shd w:val="clear" w:color="000000" w:fill="0070C0"/>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FFFFFF"/>
              </w:rPr>
            </w:pPr>
            <w:r w:rsidRPr="0067008A">
              <w:rPr>
                <w:rFonts w:ascii="Times New Roman" w:eastAsia="Times New Roman" w:hAnsi="Times New Roman" w:cs="Times New Roman"/>
                <w:b/>
                <w:bCs/>
                <w:color w:val="FFFFFF"/>
              </w:rPr>
              <w:t>Total activo 2017</w:t>
            </w:r>
          </w:p>
        </w:tc>
        <w:tc>
          <w:tcPr>
            <w:tcW w:w="1134" w:type="dxa"/>
            <w:tcBorders>
              <w:top w:val="single" w:sz="4" w:space="0" w:color="8DB4E2"/>
              <w:bottom w:val="single" w:sz="4" w:space="0" w:color="8DB4E2"/>
              <w:right w:val="single" w:sz="4" w:space="0" w:color="8DB4E2"/>
            </w:tcBorders>
            <w:shd w:val="clear" w:color="000000" w:fill="0070C0"/>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FFFFFF"/>
              </w:rPr>
            </w:pPr>
            <w:r w:rsidRPr="0067008A">
              <w:rPr>
                <w:rFonts w:ascii="Times New Roman" w:eastAsia="Times New Roman" w:hAnsi="Times New Roman" w:cs="Times New Roman"/>
                <w:b/>
                <w:bCs/>
                <w:color w:val="FFFFFF"/>
              </w:rPr>
              <w:t>Total patrimonio neto 2017</w:t>
            </w:r>
          </w:p>
        </w:tc>
        <w:tc>
          <w:tcPr>
            <w:tcW w:w="992" w:type="dxa"/>
            <w:tcBorders>
              <w:top w:val="single" w:sz="4" w:space="0" w:color="8DB4E2"/>
              <w:bottom w:val="single" w:sz="4" w:space="0" w:color="8DB4E2"/>
              <w:right w:val="single" w:sz="4" w:space="0" w:color="8DB4E2"/>
            </w:tcBorders>
            <w:shd w:val="clear" w:color="000000" w:fill="0070C0"/>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FFFFFF"/>
              </w:rPr>
            </w:pPr>
            <w:r w:rsidRPr="0067008A">
              <w:rPr>
                <w:rFonts w:ascii="Times New Roman" w:eastAsia="Times New Roman" w:hAnsi="Times New Roman" w:cs="Times New Roman"/>
                <w:b/>
                <w:bCs/>
                <w:color w:val="FFFFFF"/>
              </w:rPr>
              <w:t xml:space="preserve">Impuesto a los Activos en el Exterior </w:t>
            </w:r>
          </w:p>
        </w:tc>
        <w:tc>
          <w:tcPr>
            <w:tcW w:w="1274" w:type="dxa"/>
            <w:tcBorders>
              <w:top w:val="single" w:sz="4" w:space="0" w:color="8DB4E2"/>
              <w:bottom w:val="single" w:sz="4" w:space="0" w:color="8DB4E2"/>
              <w:right w:val="single" w:sz="4" w:space="0" w:color="8DB4E2"/>
            </w:tcBorders>
            <w:shd w:val="clear" w:color="000000" w:fill="0070C0"/>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FFFFFF"/>
              </w:rPr>
            </w:pPr>
            <w:r w:rsidRPr="0067008A">
              <w:rPr>
                <w:rFonts w:ascii="Times New Roman" w:eastAsia="Times New Roman" w:hAnsi="Times New Roman" w:cs="Times New Roman"/>
                <w:b/>
                <w:bCs/>
                <w:color w:val="FFFFFF"/>
              </w:rPr>
              <w:t>Total Recaudado 2017</w:t>
            </w:r>
          </w:p>
        </w:tc>
      </w:tr>
      <w:tr w:rsidR="006A4D59" w:rsidRPr="0067008A">
        <w:trPr>
          <w:trHeight w:val="300"/>
        </w:trPr>
        <w:tc>
          <w:tcPr>
            <w:tcW w:w="2622" w:type="dxa"/>
            <w:tcBorders>
              <w:top w:val="single" w:sz="4" w:space="0" w:color="8DB4E2"/>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BANCO GUAYAQUIL S.A.</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11.590.544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420.008.638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4.023.542.090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454.888.415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8.019.828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180.580.799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CORPORACION MULTIBG S.A.</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8.462.793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138.327.399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135.737.867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15.240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ADMINISTRACION GLM</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3.476.010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18.826.508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18.826.420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680.646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LASSO MENDOZA CARLOS JORGE</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568.857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1.725.722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1.727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ADMINISTRACION MELM</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1.529.453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8.468.444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8.451.868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288.926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ADMINISTRACION CLM-MMS</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1.294.984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7.015.862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7.015.862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242.428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YOU TRAVEL AGENCY S.A. YTA AGENCIA DE VIAJES Y TURISMO</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27.855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1.117.080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637.514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445.106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138.851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PROMOQUIL S.A.</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843.826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14.375.660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14.375.660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272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CARRERA DROUET DANILO EDUARDO</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199.656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632.493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13.527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ADMINISTRACION DCD-UNO</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309.155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1.580.011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1.576.345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44.719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INMOBILIARIO BG DOS MIL NUEVE</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3.789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302.177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486.343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325.604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3.789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ADMINISTRACION DCD-DOS</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206.104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1.054.207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1.051.681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23.891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MUÑOZ SALGADO MERCEDES LEONOR</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12.831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103.401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6.825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ADMINISTRACION E INVERSION DE BIENES DE CAPITALES TRES</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5.245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92.228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254.021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(37.615)</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5.245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BROTHER'S INVESTMENT LTD.</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20.582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32.400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3.241.124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3.241.119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41.101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GRUPO CORPORATIVO YOU YOUCORP S.A.</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32.213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230.381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230.381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338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LASSO ALCIVAR MARIA DE LOURDES</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1.552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27.097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FLUJOS Y PAGOS GUIMSA</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8.886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8.884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31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DE ADMINISTRACION DE INMUEBLE OASIS</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881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88.943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(11.880)</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882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FLUJOS Y PAGOS DISMUNDI</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36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36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FLUJOS Y PAGOS LA TABLITA</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50.618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500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FLUJOS Y PAGOS VALLEJO ARAUJO</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177.270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1.000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SOUTH PACIFIC INVESTORS LTD</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863.150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395.101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2.353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ADMINISTRACION DE FLUJOS Y PAGOS HOUSE SPORT I</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22.119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22.116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46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DE ADMINISTRACION DE INMUEBLE BARANDUA III</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107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27.729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(7.036)</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108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DE ADMINISTRACION DE FLUJOS Y PAGOS ECUATORIANO SUIZA</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42.823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42.823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GUZMAN CALERO</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153.736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153.736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LASSO MENDOZA MARIA EUGENIA</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INMOBILIARIO BG DOS MIL CUATRO</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228.955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71.860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FLUJOS Y PAGOS TIKALOVA</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2.659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ADMINISTRACION E INVERSION PERTENENCIA BG</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8.212.891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8.210.687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591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DE ADMINISTRACION DE RECURSOS SAPRENSOTA</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30.000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500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61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ARBOLEDA DEL SALADO</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3.591.897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3.591.897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DE ADMINISTRACION DE FLUJOS OSCTRESPONSE ARRIENDOS</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500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500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ACTIVOS DOS MIL CUATRO</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240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7.852.770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7.852.249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120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GARANTIA DE VEHICULO BG</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5.100.103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5.100.103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14.722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ADMINISTRACION Y GARANTIA MANUEL EDMUNDO GUTIERREZ OCHOA</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1.060.381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1.060.381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DE ADMINISTRACION PROYECTO GYD</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1.218.341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868.341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BG INMUEBLES CERO CERO UNO</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1.301.708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1.030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ADMINISTRACION Y PAGOS LATINOEXPRESS - BG</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DE ADMINISTRACION MANHATTAN</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610.097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532.200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597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FLUJOS Y PAGOS EL UNIVERSO</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30.975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30.950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235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LASSO ALCIVAR MARIA MERCEDES</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ADMINISTRACION Y PAGOS EXPOGUAYAQUIL</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2.096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2.088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97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FLUJOS Y PAGOS JBG</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1.492.890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1.492.840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601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FLUJOS Y PAGOS FILCASA</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1.523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500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38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FLUJOS Y PAGOS ESTEBAN ESTRATEGIAS DE DISEÑO</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669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500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38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LASSO MENDOZA GUILLERMO ALBERTO SANTIAGO</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FLUJOS Y PAGOS AGROPERKINS</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1.251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1.249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35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ALCIVAR CRESPO MARIA DE LOURDES</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GARANTIAS DEL FONDO DE LIQUIDEZ DEL SISTEMA FINANCIERO PRIVADO BANCO GUAYAQUIL S.A.</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57.198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57.198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BANISI</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FLUJOS Y PAGOS GRAHOGSA</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9.987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500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LASSO ALCIVAR GUILLERMO ENRIQUE</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8.164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FLUJOS Y PAGOS HOSPIRIO</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71.010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500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98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LASALFILMS S.A.</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BANISI HOLDING</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CARTERA MARCIMEX-BG</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1.500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1.500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DE FLUJOS BRODI STTC</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985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985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LASSO ALCIVAR SANTIAGO XAVIER</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MULTIPREDIOS UNO</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5.309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883.960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883.960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5.309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CAPAES</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1.198.619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1.198.619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300"/>
        </w:trPr>
        <w:tc>
          <w:tcPr>
            <w:tcW w:w="2622" w:type="dxa"/>
            <w:tcBorders>
              <w:left w:val="single" w:sz="4" w:space="0" w:color="8DB4E2"/>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ADMINISTRACION CLM MMS DOS</w:t>
            </w:r>
          </w:p>
        </w:tc>
        <w:tc>
          <w:tcPr>
            <w:tcW w:w="1276"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3"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1.531.652 </w:t>
            </w:r>
          </w:p>
        </w:tc>
        <w:tc>
          <w:tcPr>
            <w:tcW w:w="113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1.531.652 </w:t>
            </w:r>
          </w:p>
        </w:tc>
        <w:tc>
          <w:tcPr>
            <w:tcW w:w="992"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8DB4E2"/>
              <w:right w:val="single" w:sz="4" w:space="0" w:color="8DB4E2"/>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320"/>
        </w:trPr>
        <w:tc>
          <w:tcPr>
            <w:tcW w:w="2622" w:type="dxa"/>
            <w:tcBorders>
              <w:left w:val="single" w:sz="4" w:space="0" w:color="8DB4E2"/>
              <w:bottom w:val="single" w:sz="8" w:space="0" w:color="8DB4E2"/>
              <w:right w:val="single" w:sz="4" w:space="0" w:color="8DB4E2"/>
            </w:tcBorders>
            <w:shd w:val="clear" w:color="000000" w:fill="D9D9D9"/>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000000"/>
              </w:rPr>
            </w:pPr>
            <w:r w:rsidRPr="0067008A">
              <w:rPr>
                <w:rFonts w:ascii="Times New Roman" w:eastAsia="Times New Roman" w:hAnsi="Times New Roman" w:cs="Times New Roman"/>
                <w:b/>
                <w:bCs/>
                <w:color w:val="000000"/>
              </w:rPr>
              <w:t>TOTAL </w:t>
            </w:r>
          </w:p>
        </w:tc>
        <w:tc>
          <w:tcPr>
            <w:tcW w:w="1276" w:type="dxa"/>
            <w:tcBorders>
              <w:bottom w:val="single" w:sz="8" w:space="0" w:color="8DB4E2"/>
              <w:right w:val="single" w:sz="4" w:space="0" w:color="8DB4E2"/>
            </w:tcBorders>
            <w:shd w:val="clear" w:color="000000" w:fill="D9D9D9"/>
            <w:vAlign w:val="center"/>
          </w:tcPr>
          <w:p w:rsidR="006A4D59" w:rsidRPr="0067008A" w:rsidRDefault="00921711" w:rsidP="00677E33">
            <w:pPr>
              <w:spacing w:after="240" w:line="360" w:lineRule="auto"/>
              <w:jc w:val="right"/>
              <w:rPr>
                <w:rFonts w:ascii="Times New Roman" w:eastAsia="Times New Roman" w:hAnsi="Times New Roman" w:cs="Times New Roman"/>
                <w:b/>
                <w:bCs/>
                <w:color w:val="000000"/>
              </w:rPr>
            </w:pPr>
            <w:r w:rsidRPr="0067008A">
              <w:rPr>
                <w:rFonts w:ascii="Times New Roman" w:eastAsia="Times New Roman" w:hAnsi="Times New Roman" w:cs="Times New Roman"/>
                <w:b/>
                <w:bCs/>
                <w:color w:val="000000"/>
              </w:rPr>
              <w:t xml:space="preserve"> 12.437.448 </w:t>
            </w:r>
          </w:p>
        </w:tc>
        <w:tc>
          <w:tcPr>
            <w:tcW w:w="993" w:type="dxa"/>
            <w:tcBorders>
              <w:bottom w:val="single" w:sz="8" w:space="0" w:color="8DB4E2"/>
              <w:right w:val="single" w:sz="4" w:space="0" w:color="8DB4E2"/>
            </w:tcBorders>
            <w:shd w:val="clear" w:color="000000" w:fill="D9D9D9"/>
            <w:vAlign w:val="center"/>
          </w:tcPr>
          <w:p w:rsidR="006A4D59" w:rsidRPr="0067008A" w:rsidRDefault="00921711" w:rsidP="00677E33">
            <w:pPr>
              <w:spacing w:after="240" w:line="360" w:lineRule="auto"/>
              <w:jc w:val="right"/>
              <w:rPr>
                <w:rFonts w:ascii="Times New Roman" w:eastAsia="Times New Roman" w:hAnsi="Times New Roman" w:cs="Times New Roman"/>
                <w:b/>
                <w:bCs/>
                <w:color w:val="000000"/>
              </w:rPr>
            </w:pPr>
            <w:r w:rsidRPr="0067008A">
              <w:rPr>
                <w:rFonts w:ascii="Times New Roman" w:eastAsia="Times New Roman" w:hAnsi="Times New Roman" w:cs="Times New Roman"/>
                <w:b/>
                <w:bCs/>
                <w:color w:val="000000"/>
              </w:rPr>
              <w:t xml:space="preserve"> 440.195.774 </w:t>
            </w:r>
          </w:p>
        </w:tc>
        <w:tc>
          <w:tcPr>
            <w:tcW w:w="1134" w:type="dxa"/>
            <w:tcBorders>
              <w:bottom w:val="single" w:sz="8" w:space="0" w:color="8DB4E2"/>
              <w:right w:val="single" w:sz="4" w:space="0" w:color="8DB4E2"/>
            </w:tcBorders>
            <w:shd w:val="clear" w:color="000000" w:fill="D9D9D9"/>
            <w:vAlign w:val="center"/>
          </w:tcPr>
          <w:p w:rsidR="006A4D59" w:rsidRPr="0067008A" w:rsidRDefault="00921711" w:rsidP="00677E33">
            <w:pPr>
              <w:spacing w:after="240" w:line="360" w:lineRule="auto"/>
              <w:jc w:val="right"/>
              <w:rPr>
                <w:rFonts w:ascii="Times New Roman" w:eastAsia="Times New Roman" w:hAnsi="Times New Roman" w:cs="Times New Roman"/>
                <w:b/>
                <w:bCs/>
                <w:color w:val="000000"/>
              </w:rPr>
            </w:pPr>
            <w:r w:rsidRPr="0067008A">
              <w:rPr>
                <w:rFonts w:ascii="Times New Roman" w:eastAsia="Times New Roman" w:hAnsi="Times New Roman" w:cs="Times New Roman"/>
                <w:b/>
                <w:bCs/>
                <w:color w:val="000000"/>
              </w:rPr>
              <w:t xml:space="preserve"> 4.253.969.491 </w:t>
            </w:r>
          </w:p>
        </w:tc>
        <w:tc>
          <w:tcPr>
            <w:tcW w:w="1134" w:type="dxa"/>
            <w:tcBorders>
              <w:bottom w:val="single" w:sz="8" w:space="0" w:color="8DB4E2"/>
              <w:right w:val="single" w:sz="4" w:space="0" w:color="8DB4E2"/>
            </w:tcBorders>
            <w:shd w:val="clear" w:color="000000" w:fill="D9D9D9"/>
            <w:vAlign w:val="center"/>
          </w:tcPr>
          <w:p w:rsidR="006A4D59" w:rsidRPr="0067008A" w:rsidRDefault="00921711" w:rsidP="00677E33">
            <w:pPr>
              <w:spacing w:after="240" w:line="360" w:lineRule="auto"/>
              <w:jc w:val="right"/>
              <w:rPr>
                <w:rFonts w:ascii="Times New Roman" w:eastAsia="Times New Roman" w:hAnsi="Times New Roman" w:cs="Times New Roman"/>
                <w:b/>
                <w:bCs/>
                <w:color w:val="000000"/>
              </w:rPr>
            </w:pPr>
            <w:r w:rsidRPr="0067008A">
              <w:rPr>
                <w:rFonts w:ascii="Times New Roman" w:eastAsia="Times New Roman" w:hAnsi="Times New Roman" w:cs="Times New Roman"/>
                <w:b/>
                <w:bCs/>
                <w:color w:val="000000"/>
              </w:rPr>
              <w:t xml:space="preserve"> 679.226.782 </w:t>
            </w:r>
          </w:p>
        </w:tc>
        <w:tc>
          <w:tcPr>
            <w:tcW w:w="992" w:type="dxa"/>
            <w:tcBorders>
              <w:bottom w:val="single" w:sz="8" w:space="0" w:color="8DB4E2"/>
              <w:right w:val="single" w:sz="4" w:space="0" w:color="8DB4E2"/>
            </w:tcBorders>
            <w:shd w:val="clear" w:color="000000" w:fill="D9D9D9"/>
            <w:vAlign w:val="center"/>
          </w:tcPr>
          <w:p w:rsidR="006A4D59" w:rsidRPr="0067008A" w:rsidRDefault="00921711" w:rsidP="00677E33">
            <w:pPr>
              <w:spacing w:after="240" w:line="360" w:lineRule="auto"/>
              <w:jc w:val="right"/>
              <w:rPr>
                <w:rFonts w:ascii="Times New Roman" w:eastAsia="Times New Roman" w:hAnsi="Times New Roman" w:cs="Times New Roman"/>
                <w:b/>
                <w:bCs/>
                <w:color w:val="000000"/>
              </w:rPr>
            </w:pPr>
            <w:r w:rsidRPr="0067008A">
              <w:rPr>
                <w:rFonts w:ascii="Times New Roman" w:eastAsia="Times New Roman" w:hAnsi="Times New Roman" w:cs="Times New Roman"/>
                <w:b/>
                <w:bCs/>
                <w:color w:val="000000"/>
              </w:rPr>
              <w:t xml:space="preserve"> 8.019.828 </w:t>
            </w:r>
          </w:p>
        </w:tc>
        <w:tc>
          <w:tcPr>
            <w:tcW w:w="1274" w:type="dxa"/>
            <w:tcBorders>
              <w:bottom w:val="single" w:sz="8" w:space="0" w:color="8DB4E2"/>
              <w:right w:val="single" w:sz="4" w:space="0" w:color="8DB4E2"/>
            </w:tcBorders>
            <w:shd w:val="clear" w:color="000000" w:fill="D9D9D9"/>
            <w:vAlign w:val="center"/>
          </w:tcPr>
          <w:p w:rsidR="006A4D59" w:rsidRPr="0067008A" w:rsidRDefault="00921711" w:rsidP="00677E33">
            <w:pPr>
              <w:spacing w:after="240" w:line="360" w:lineRule="auto"/>
              <w:jc w:val="right"/>
              <w:rPr>
                <w:rFonts w:ascii="Times New Roman" w:eastAsia="Times New Roman" w:hAnsi="Times New Roman" w:cs="Times New Roman"/>
                <w:b/>
                <w:bCs/>
                <w:color w:val="000000"/>
              </w:rPr>
            </w:pPr>
            <w:r w:rsidRPr="0067008A">
              <w:rPr>
                <w:rFonts w:ascii="Times New Roman" w:eastAsia="Times New Roman" w:hAnsi="Times New Roman" w:cs="Times New Roman"/>
                <w:b/>
                <w:bCs/>
                <w:color w:val="000000"/>
              </w:rPr>
              <w:t xml:space="preserve"> 182.122.450 </w:t>
            </w:r>
          </w:p>
        </w:tc>
      </w:tr>
    </w:tbl>
    <w:p w:rsidR="006A4D59" w:rsidRPr="0067008A" w:rsidRDefault="00921711" w:rsidP="00677E33">
      <w:pPr>
        <w:spacing w:after="240" w:line="360" w:lineRule="auto"/>
        <w:rPr>
          <w:rFonts w:ascii="Times New Roman" w:hAnsi="Times New Roman" w:cs="Times New Roman"/>
        </w:rPr>
      </w:pPr>
      <w:r w:rsidRPr="0067008A">
        <w:rPr>
          <w:rFonts w:ascii="Times New Roman" w:hAnsi="Times New Roman" w:cs="Times New Roman"/>
        </w:rPr>
        <w:t>Fuente: (SRI 2021)</w:t>
      </w:r>
    </w:p>
    <w:p w:rsidR="006A4D59" w:rsidRPr="0067008A" w:rsidRDefault="006A4D59" w:rsidP="00677E33">
      <w:pPr>
        <w:spacing w:after="240" w:line="360" w:lineRule="auto"/>
        <w:rPr>
          <w:rFonts w:ascii="Times New Roman" w:hAnsi="Times New Roman" w:cs="Times New Roman"/>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Se presenta la información para los años 2018 y 2019, y se puede ver que el grupo tiene un comportamiento sistemático de eludir o evadir el pago del impuesto a la renta. Podemos también ya notar la diferencia de pago del impuesto a la renta entre las grandes empresas del grupo y los personajes VIP del grupo. Mientras que los personajes VIP tienen un comportamiento tributario coherente, las empresas del grupo pagan cantidades mínimas de impuesto a la renta, conforme los siguientes cuadros:</w:t>
      </w:r>
    </w:p>
    <w:p w:rsidR="006A4D59" w:rsidRPr="0067008A" w:rsidRDefault="006A4D59" w:rsidP="00677E33">
      <w:pPr>
        <w:spacing w:after="240" w:line="360" w:lineRule="auto"/>
        <w:rPr>
          <w:rFonts w:ascii="Times New Roman" w:hAnsi="Times New Roman" w:cs="Times New Roman"/>
        </w:rPr>
      </w:pPr>
    </w:p>
    <w:p w:rsidR="006A4D59" w:rsidRPr="0067008A" w:rsidRDefault="00921711" w:rsidP="00677E33">
      <w:pPr>
        <w:pStyle w:val="Descripcin"/>
        <w:spacing w:after="240" w:line="360" w:lineRule="auto"/>
        <w:rPr>
          <w:rFonts w:ascii="Times New Roman" w:hAnsi="Times New Roman" w:cs="Times New Roman"/>
          <w:sz w:val="22"/>
          <w:szCs w:val="22"/>
        </w:rPr>
      </w:pPr>
      <w:r w:rsidRPr="0067008A">
        <w:rPr>
          <w:rFonts w:ascii="Times New Roman" w:hAnsi="Times New Roman" w:cs="Times New Roman"/>
          <w:sz w:val="22"/>
          <w:szCs w:val="22"/>
        </w:rPr>
        <w:t xml:space="preserve">Tabla </w:t>
      </w:r>
      <w:r w:rsidRPr="0067008A">
        <w:rPr>
          <w:rFonts w:ascii="Times New Roman" w:hAnsi="Times New Roman" w:cs="Times New Roman"/>
          <w:sz w:val="22"/>
          <w:szCs w:val="22"/>
        </w:rPr>
        <w:fldChar w:fldCharType="begin"/>
      </w:r>
      <w:r w:rsidRPr="0067008A">
        <w:rPr>
          <w:rFonts w:ascii="Times New Roman" w:hAnsi="Times New Roman" w:cs="Times New Roman"/>
          <w:sz w:val="22"/>
          <w:szCs w:val="22"/>
        </w:rPr>
        <w:instrText>SEQ Tabla \* ARABIC</w:instrText>
      </w:r>
      <w:r w:rsidRPr="0067008A">
        <w:rPr>
          <w:rFonts w:ascii="Times New Roman" w:hAnsi="Times New Roman" w:cs="Times New Roman"/>
          <w:sz w:val="22"/>
          <w:szCs w:val="22"/>
        </w:rPr>
        <w:fldChar w:fldCharType="separate"/>
      </w:r>
      <w:r w:rsidR="0029216E" w:rsidRPr="0067008A">
        <w:rPr>
          <w:rFonts w:ascii="Times New Roman" w:hAnsi="Times New Roman" w:cs="Times New Roman"/>
          <w:noProof/>
          <w:sz w:val="22"/>
          <w:szCs w:val="22"/>
        </w:rPr>
        <w:t>12</w:t>
      </w:r>
      <w:r w:rsidRPr="0067008A">
        <w:rPr>
          <w:rFonts w:ascii="Times New Roman" w:hAnsi="Times New Roman" w:cs="Times New Roman"/>
          <w:sz w:val="22"/>
          <w:szCs w:val="22"/>
        </w:rPr>
        <w:fldChar w:fldCharType="end"/>
      </w:r>
      <w:r w:rsidRPr="0067008A">
        <w:rPr>
          <w:rFonts w:ascii="Times New Roman" w:hAnsi="Times New Roman" w:cs="Times New Roman"/>
          <w:sz w:val="22"/>
          <w:szCs w:val="22"/>
        </w:rPr>
        <w:t xml:space="preserve"> Ingresos e impuestos causados, grupo Banco de Guayaquil, año 2018, en USD</w:t>
      </w:r>
    </w:p>
    <w:tbl>
      <w:tblPr>
        <w:tblW w:w="9087" w:type="dxa"/>
        <w:tblInd w:w="55" w:type="dxa"/>
        <w:tblBorders>
          <w:top w:val="single" w:sz="4" w:space="0" w:color="ACB9CA"/>
          <w:left w:val="single" w:sz="8" w:space="0" w:color="ACB9CA"/>
          <w:bottom w:val="single" w:sz="4" w:space="0" w:color="ACB9CA"/>
          <w:right w:val="single" w:sz="4" w:space="0" w:color="ACB9CA"/>
          <w:insideH w:val="single" w:sz="4" w:space="0" w:color="ACB9CA"/>
          <w:insideV w:val="single" w:sz="4" w:space="0" w:color="ACB9CA"/>
        </w:tblBorders>
        <w:tblCellMar>
          <w:left w:w="60" w:type="dxa"/>
          <w:right w:w="70" w:type="dxa"/>
        </w:tblCellMar>
        <w:tblLook w:val="04A0" w:firstRow="1" w:lastRow="0" w:firstColumn="1" w:lastColumn="0" w:noHBand="0" w:noVBand="1"/>
      </w:tblPr>
      <w:tblGrid>
        <w:gridCol w:w="2049"/>
        <w:gridCol w:w="1120"/>
        <w:gridCol w:w="1230"/>
        <w:gridCol w:w="1395"/>
        <w:gridCol w:w="1230"/>
        <w:gridCol w:w="1011"/>
        <w:gridCol w:w="1230"/>
      </w:tblGrid>
      <w:tr w:rsidR="006A4D59" w:rsidRPr="0067008A">
        <w:trPr>
          <w:trHeight w:val="1400"/>
        </w:trPr>
        <w:tc>
          <w:tcPr>
            <w:tcW w:w="2141" w:type="dxa"/>
            <w:tcBorders>
              <w:top w:val="single" w:sz="4" w:space="0" w:color="ACB9CA"/>
              <w:left w:val="single" w:sz="8" w:space="0" w:color="ACB9CA"/>
              <w:bottom w:val="single" w:sz="4" w:space="0" w:color="ACB9CA"/>
              <w:right w:val="single" w:sz="4" w:space="0" w:color="ACB9CA"/>
            </w:tcBorders>
            <w:shd w:val="clear" w:color="000000" w:fill="D6DCE4"/>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333F4F"/>
              </w:rPr>
            </w:pPr>
            <w:r w:rsidRPr="0067008A">
              <w:rPr>
                <w:rFonts w:ascii="Times New Roman" w:eastAsia="Times New Roman" w:hAnsi="Times New Roman" w:cs="Times New Roman"/>
                <w:b/>
                <w:bCs/>
                <w:color w:val="333F4F"/>
              </w:rPr>
              <w:t>Razón Social Integrante</w:t>
            </w:r>
          </w:p>
        </w:tc>
        <w:tc>
          <w:tcPr>
            <w:tcW w:w="1134" w:type="dxa"/>
            <w:tcBorders>
              <w:top w:val="single" w:sz="4" w:space="0" w:color="8EA9DB"/>
              <w:left w:val="single" w:sz="4" w:space="0" w:color="8EA9DB"/>
              <w:bottom w:val="single" w:sz="4" w:space="0" w:color="8EA9DB"/>
              <w:right w:val="single" w:sz="4" w:space="0" w:color="8EA9DB"/>
            </w:tcBorders>
            <w:shd w:val="clear" w:color="000000" w:fill="8EA9DB"/>
            <w:vAlign w:val="center"/>
          </w:tcPr>
          <w:p w:rsidR="006A4D59" w:rsidRPr="0067008A" w:rsidRDefault="00921711" w:rsidP="00677E33">
            <w:pPr>
              <w:spacing w:after="240" w:line="360" w:lineRule="auto"/>
              <w:jc w:val="center"/>
              <w:rPr>
                <w:rFonts w:ascii="Times New Roman" w:eastAsia="Times New Roman" w:hAnsi="Times New Roman" w:cs="Times New Roman"/>
                <w:b/>
                <w:bCs/>
              </w:rPr>
            </w:pPr>
            <w:r w:rsidRPr="0067008A">
              <w:rPr>
                <w:rFonts w:ascii="Times New Roman" w:eastAsia="Times New Roman" w:hAnsi="Times New Roman" w:cs="Times New Roman"/>
                <w:b/>
                <w:bCs/>
              </w:rPr>
              <w:t>Total Impuesto a la Renta Causado 2018</w:t>
            </w:r>
          </w:p>
        </w:tc>
        <w:tc>
          <w:tcPr>
            <w:tcW w:w="1134" w:type="dxa"/>
            <w:tcBorders>
              <w:top w:val="single" w:sz="4" w:space="0" w:color="8EA9DB"/>
              <w:bottom w:val="single" w:sz="4" w:space="0" w:color="8EA9DB"/>
              <w:right w:val="single" w:sz="4" w:space="0" w:color="8EA9DB"/>
            </w:tcBorders>
            <w:shd w:val="clear" w:color="000000" w:fill="8EA9DB"/>
            <w:vAlign w:val="center"/>
          </w:tcPr>
          <w:p w:rsidR="006A4D59" w:rsidRPr="0067008A" w:rsidRDefault="00921711" w:rsidP="00677E33">
            <w:pPr>
              <w:spacing w:after="240" w:line="360" w:lineRule="auto"/>
              <w:jc w:val="center"/>
              <w:rPr>
                <w:rFonts w:ascii="Times New Roman" w:eastAsia="Times New Roman" w:hAnsi="Times New Roman" w:cs="Times New Roman"/>
                <w:b/>
                <w:bCs/>
              </w:rPr>
            </w:pPr>
            <w:r w:rsidRPr="0067008A">
              <w:rPr>
                <w:rFonts w:ascii="Times New Roman" w:eastAsia="Times New Roman" w:hAnsi="Times New Roman" w:cs="Times New Roman"/>
                <w:b/>
                <w:bCs/>
              </w:rPr>
              <w:t>Total Ingresos 2018</w:t>
            </w:r>
          </w:p>
        </w:tc>
        <w:tc>
          <w:tcPr>
            <w:tcW w:w="1275" w:type="dxa"/>
            <w:tcBorders>
              <w:top w:val="single" w:sz="4" w:space="0" w:color="8EA9DB"/>
              <w:bottom w:val="single" w:sz="4" w:space="0" w:color="8EA9DB"/>
              <w:right w:val="single" w:sz="4" w:space="0" w:color="8EA9DB"/>
            </w:tcBorders>
            <w:shd w:val="clear" w:color="000000" w:fill="8EA9DB"/>
            <w:vAlign w:val="center"/>
          </w:tcPr>
          <w:p w:rsidR="006A4D59" w:rsidRPr="0067008A" w:rsidRDefault="00921711" w:rsidP="00677E33">
            <w:pPr>
              <w:spacing w:after="240" w:line="360" w:lineRule="auto"/>
              <w:jc w:val="center"/>
              <w:rPr>
                <w:rFonts w:ascii="Times New Roman" w:eastAsia="Times New Roman" w:hAnsi="Times New Roman" w:cs="Times New Roman"/>
                <w:b/>
                <w:bCs/>
              </w:rPr>
            </w:pPr>
            <w:r w:rsidRPr="0067008A">
              <w:rPr>
                <w:rFonts w:ascii="Times New Roman" w:eastAsia="Times New Roman" w:hAnsi="Times New Roman" w:cs="Times New Roman"/>
                <w:b/>
                <w:bCs/>
              </w:rPr>
              <w:t>Total activo 2018</w:t>
            </w:r>
          </w:p>
        </w:tc>
        <w:tc>
          <w:tcPr>
            <w:tcW w:w="1134" w:type="dxa"/>
            <w:tcBorders>
              <w:top w:val="single" w:sz="4" w:space="0" w:color="8EA9DB"/>
              <w:bottom w:val="single" w:sz="4" w:space="0" w:color="8EA9DB"/>
              <w:right w:val="single" w:sz="4" w:space="0" w:color="8EA9DB"/>
            </w:tcBorders>
            <w:shd w:val="clear" w:color="000000" w:fill="8EA9DB"/>
            <w:vAlign w:val="center"/>
          </w:tcPr>
          <w:p w:rsidR="006A4D59" w:rsidRPr="0067008A" w:rsidRDefault="00921711" w:rsidP="00677E33">
            <w:pPr>
              <w:spacing w:after="240" w:line="360" w:lineRule="auto"/>
              <w:jc w:val="center"/>
              <w:rPr>
                <w:rFonts w:ascii="Times New Roman" w:eastAsia="Times New Roman" w:hAnsi="Times New Roman" w:cs="Times New Roman"/>
                <w:b/>
                <w:bCs/>
              </w:rPr>
            </w:pPr>
            <w:r w:rsidRPr="0067008A">
              <w:rPr>
                <w:rFonts w:ascii="Times New Roman" w:eastAsia="Times New Roman" w:hAnsi="Times New Roman" w:cs="Times New Roman"/>
                <w:b/>
                <w:bCs/>
              </w:rPr>
              <w:t>Total patrimonio neto 2018</w:t>
            </w:r>
          </w:p>
        </w:tc>
        <w:tc>
          <w:tcPr>
            <w:tcW w:w="994" w:type="dxa"/>
            <w:tcBorders>
              <w:top w:val="single" w:sz="4" w:space="0" w:color="8EA9DB"/>
              <w:bottom w:val="single" w:sz="4" w:space="0" w:color="8EA9DB"/>
              <w:right w:val="single" w:sz="4" w:space="0" w:color="8EA9DB"/>
            </w:tcBorders>
            <w:shd w:val="clear" w:color="000000" w:fill="8EA9DB"/>
            <w:vAlign w:val="center"/>
          </w:tcPr>
          <w:p w:rsidR="006A4D59" w:rsidRPr="0067008A" w:rsidRDefault="00921711" w:rsidP="00677E33">
            <w:pPr>
              <w:spacing w:after="240" w:line="360" w:lineRule="auto"/>
              <w:jc w:val="center"/>
              <w:rPr>
                <w:rFonts w:ascii="Times New Roman" w:eastAsia="Times New Roman" w:hAnsi="Times New Roman" w:cs="Times New Roman"/>
                <w:b/>
                <w:bCs/>
              </w:rPr>
            </w:pPr>
            <w:r w:rsidRPr="0067008A">
              <w:rPr>
                <w:rFonts w:ascii="Times New Roman" w:eastAsia="Times New Roman" w:hAnsi="Times New Roman" w:cs="Times New Roman"/>
                <w:b/>
                <w:bCs/>
              </w:rPr>
              <w:t>Impuesto a los Activos en el Exterior 2018</w:t>
            </w:r>
          </w:p>
        </w:tc>
        <w:tc>
          <w:tcPr>
            <w:tcW w:w="1274" w:type="dxa"/>
            <w:tcBorders>
              <w:top w:val="single" w:sz="4" w:space="0" w:color="8EA9DB"/>
              <w:bottom w:val="single" w:sz="4" w:space="0" w:color="8EA9DB"/>
              <w:right w:val="single" w:sz="4" w:space="0" w:color="8EA9DB"/>
            </w:tcBorders>
            <w:shd w:val="clear" w:color="000000" w:fill="8EA9DB"/>
            <w:vAlign w:val="center"/>
          </w:tcPr>
          <w:p w:rsidR="006A4D59" w:rsidRPr="0067008A" w:rsidRDefault="00921711" w:rsidP="00677E33">
            <w:pPr>
              <w:spacing w:after="240" w:line="360" w:lineRule="auto"/>
              <w:jc w:val="center"/>
              <w:rPr>
                <w:rFonts w:ascii="Times New Roman" w:eastAsia="Times New Roman" w:hAnsi="Times New Roman" w:cs="Times New Roman"/>
                <w:b/>
                <w:bCs/>
              </w:rPr>
            </w:pPr>
            <w:r w:rsidRPr="0067008A">
              <w:rPr>
                <w:rFonts w:ascii="Times New Roman" w:eastAsia="Times New Roman" w:hAnsi="Times New Roman" w:cs="Times New Roman"/>
                <w:b/>
                <w:bCs/>
              </w:rPr>
              <w:t>Total Recaudado 2018</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ALCIVAR CRESPO MARIA DE LOURDES</w:t>
            </w:r>
          </w:p>
        </w:tc>
        <w:tc>
          <w:tcPr>
            <w:tcW w:w="1134" w:type="dxa"/>
            <w:tcBorders>
              <w:top w:val="single" w:sz="4"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top w:val="single" w:sz="4"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5" w:type="dxa"/>
            <w:tcBorders>
              <w:top w:val="single" w:sz="4"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top w:val="single" w:sz="4"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4" w:type="dxa"/>
            <w:tcBorders>
              <w:top w:val="single" w:sz="4"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top w:val="single" w:sz="4"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BANCO GUAYAQUIL S.A.</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22.308.880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475.276.212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4.331.622.844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491.170.792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5.004.336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221.171.868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BANISI</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BANISI HOLDING</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BROTHER'S INVESTMENT LTD.</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19.964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32.400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3.110.641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3.110.641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34.532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CARRERA DROUET DANILO EDUARDO</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424.804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1.275.645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13.814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CORPORACION MULTIBG S.A.</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22.429.844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142.644.483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142.634.849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37.891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ACTIVOS DOS MIL CUATRO</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96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40.000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7.000.978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7.000.978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96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ADMINISTRACION E INVERSION DE BIENES DE CAPITALES TRES</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4.173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98.464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174.556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(21.175)</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1.631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ARBOLEDA DEL SALADO</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3.591.897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3.591.897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BG INMUEBLES CERO CERO UNO</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1.301.709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1.031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DE ADMINISTRACION DE FLUJOS OSCTRESPONSE ARRIENDOS</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500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500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DE ADMINISTRACION DE FLUJOS Y PAGOS ECUATORIANO SUIZA</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35.364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35.364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DE ADMINISTRACION DE INMUEBLE BARANDUA III</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1.755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34.765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(1.644)</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111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DE ADMINISTRACION DE RECURSOS SAPRENSOTA</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59.990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1.000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131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DE ADMINISTRACION MANHATTAN</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311.856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297.943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637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DE ADMINISTRACION PROYECTO GYD</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1.218.341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1.218.341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DE FLUJOS BRODI STTC</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GUZMAN CALERO</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153.736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153.736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INMOBILIARIO BG DOS MIL CUATRO</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5.660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157.095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97.603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91.927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INMOBILIARIO BG DOS MIL NUEVE</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12.265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160.738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354.051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346.182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4.396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CAPAES</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1.198.619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1.198.619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ADMINISTRACION CLM MMS DOS</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1.531.652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1.531.652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ADMINISTRACION CLM-MMS</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2.542.748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7.015.800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7.015.799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431.593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ADMINISTRACION DCD-DOS</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403.223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1.054.145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1.051.618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53.829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ADMINISTRACION DCD-UNO</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604.835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1.579.948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1.576.282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89.607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ADMINISTRACION DE FLUJOS Y PAGOS HOUSE SPORT I</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20.577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20.575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32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ADMINISTRACION E INVERSION PERTENENCIA BG</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10.197.535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10.194.781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402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ADMINISTRACION GLM</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7.104.554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24.105.792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24.105.544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304.811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ADMINISTRACION MELM</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3.119.545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9.960.686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9.944.109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259.588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ADMINISTRACION Y GARANTIA MANUEL EDMUNDO GUTIERREZ OCHOA</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1.060.381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1.060.381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ADMINISTRACION Y PAGOS EXPOGUAYAQUIL</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3.973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3.965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97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ADMINISTRACION Y PAGOS LATINOEXPRESS - BG</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CARTERA MARCIMEX-BG</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4.956.534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1.500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FLUJOS Y PAGOS AGROPERKINS</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222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219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28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FLUJOS Y PAGOS DISMUNDI</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FLUJOS Y PAGOS EL UNIVERSO</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26.712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26.695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210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FLUJOS Y PAGOS ESTEBAN ESTRATEGIAS DE DISEÑO</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762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500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31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FLUJOS Y PAGOS FILCASA</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500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500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23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FLUJOS Y PAGOS GRAHOGSA</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927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500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FLUJOS Y PAGOS GUIMSA</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7.982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7.979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31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FLUJOS Y PAGOS HOSPIRIO</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82.469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500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187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FLUJOS Y PAGOS JBG</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2.170.981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2.170.931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601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FLUJOS Y PAGOS LA TABLITA</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6.806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500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FLUJOS Y PAGOS TIKALOVA</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2.449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FLUJOS Y PAGOS VALLEJO ARAUJO</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381.639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1.000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GARANTIA DE VEHICULO BG</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3.719.546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3.719.546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11.605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GARANTIAS DEL FONDO DE LIQUIDEZ DEL SISTEMA FINANCIERO PRIVADO BANCO GUAYAQUIL S.A.</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60.820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60.820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MULTIPREDIOS UNO</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5.309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497.295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306.315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306.315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5.309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GRUPO CORPORATIVO YOU YOUCORP S.A.</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36.395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256.608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256.601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LASALFILMS S.A.</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LASSO ALCIVAR GUILLERMO ENRIQUE</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11.872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LASSO ALCIVAR MARIA DE LOURDES</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326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LASSO ALCIVAR MARIA MERCEDES</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LASSO ALCIVAR SANTIAGO XAVIER</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LASSO MENDOZA CARLOS JORGE</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1.155.110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3.402.913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28.934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LASSO MENDOZA GUILLERMO ALBERTO SANTIAGO</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794.836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2.321.607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LASSO MENDOZA MARIA EUGENIA</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698.950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2.058.917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MUÑOZ SALGADO MERCEDES LEONOR</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13.778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107.303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13.716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PROMOQUIL S.A.</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2.342.659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15.113.056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15.113.056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144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SOUTH PACIFIC INVESTORS LTD</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19.643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1.017.804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563.504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3.301 </w:t>
            </w:r>
          </w:p>
        </w:tc>
      </w:tr>
      <w:tr w:rsidR="006A4D59" w:rsidRPr="0067008A">
        <w:trPr>
          <w:trHeight w:val="280"/>
        </w:trPr>
        <w:tc>
          <w:tcPr>
            <w:tcW w:w="214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YOU TRAVEL AGENCY S.A. YTA AGENCIA DE VIAJES Y TURISMO</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35.783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1.192.349 </w:t>
            </w:r>
          </w:p>
        </w:tc>
        <w:tc>
          <w:tcPr>
            <w:tcW w:w="127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707.058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457.113 </w:t>
            </w:r>
          </w:p>
        </w:tc>
        <w:tc>
          <w:tcPr>
            <w:tcW w:w="99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27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136.476 </w:t>
            </w:r>
          </w:p>
        </w:tc>
      </w:tr>
      <w:tr w:rsidR="006A4D59" w:rsidRPr="0067008A">
        <w:trPr>
          <w:trHeight w:val="300"/>
        </w:trPr>
        <w:tc>
          <w:tcPr>
            <w:tcW w:w="2141" w:type="dxa"/>
            <w:tcBorders>
              <w:left w:val="single" w:sz="8" w:space="0" w:color="ACB9CA"/>
              <w:bottom w:val="single" w:sz="8" w:space="0" w:color="ACB9CA"/>
              <w:right w:val="single" w:sz="4" w:space="0" w:color="ACB9CA"/>
            </w:tcBorders>
            <w:shd w:val="clear" w:color="000000" w:fill="D9D9D9"/>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000000"/>
              </w:rPr>
            </w:pPr>
            <w:r w:rsidRPr="0067008A">
              <w:rPr>
                <w:rFonts w:ascii="Times New Roman" w:eastAsia="Times New Roman" w:hAnsi="Times New Roman" w:cs="Times New Roman"/>
                <w:b/>
                <w:bCs/>
                <w:color w:val="000000"/>
              </w:rPr>
              <w:t xml:space="preserve">TOTAL GENERAL </w:t>
            </w:r>
          </w:p>
        </w:tc>
        <w:tc>
          <w:tcPr>
            <w:tcW w:w="1134" w:type="dxa"/>
            <w:tcBorders>
              <w:bottom w:val="single" w:sz="8" w:space="0" w:color="ACB9CA"/>
              <w:right w:val="single" w:sz="4" w:space="0" w:color="ACB9CA"/>
            </w:tcBorders>
            <w:shd w:val="clear" w:color="000000" w:fill="D9D9D9"/>
            <w:vAlign w:val="center"/>
          </w:tcPr>
          <w:p w:rsidR="006A4D59" w:rsidRPr="0067008A" w:rsidRDefault="00921711" w:rsidP="00677E33">
            <w:pPr>
              <w:spacing w:after="240" w:line="360" w:lineRule="auto"/>
              <w:jc w:val="right"/>
              <w:rPr>
                <w:rFonts w:ascii="Times New Roman" w:eastAsia="Times New Roman" w:hAnsi="Times New Roman" w:cs="Times New Roman"/>
                <w:b/>
                <w:bCs/>
                <w:color w:val="000000"/>
              </w:rPr>
            </w:pPr>
            <w:r w:rsidRPr="0067008A">
              <w:rPr>
                <w:rFonts w:ascii="Times New Roman" w:eastAsia="Times New Roman" w:hAnsi="Times New Roman" w:cs="Times New Roman"/>
                <w:b/>
                <w:bCs/>
                <w:color w:val="000000"/>
              </w:rPr>
              <w:t xml:space="preserve"> 25.481.365 </w:t>
            </w:r>
          </w:p>
        </w:tc>
        <w:tc>
          <w:tcPr>
            <w:tcW w:w="1134" w:type="dxa"/>
            <w:tcBorders>
              <w:bottom w:val="single" w:sz="8" w:space="0" w:color="ACB9CA"/>
              <w:right w:val="single" w:sz="4" w:space="0" w:color="ACB9CA"/>
            </w:tcBorders>
            <w:shd w:val="clear" w:color="000000" w:fill="D9D9D9"/>
            <w:vAlign w:val="center"/>
          </w:tcPr>
          <w:p w:rsidR="006A4D59" w:rsidRPr="0067008A" w:rsidRDefault="00921711" w:rsidP="00677E33">
            <w:pPr>
              <w:spacing w:after="240" w:line="360" w:lineRule="auto"/>
              <w:jc w:val="right"/>
              <w:rPr>
                <w:rFonts w:ascii="Times New Roman" w:eastAsia="Times New Roman" w:hAnsi="Times New Roman" w:cs="Times New Roman"/>
                <w:b/>
                <w:bCs/>
                <w:color w:val="000000"/>
              </w:rPr>
            </w:pPr>
            <w:r w:rsidRPr="0067008A">
              <w:rPr>
                <w:rFonts w:ascii="Times New Roman" w:eastAsia="Times New Roman" w:hAnsi="Times New Roman" w:cs="Times New Roman"/>
                <w:b/>
                <w:bCs/>
                <w:color w:val="000000"/>
              </w:rPr>
              <w:t xml:space="preserve"> 525.259.149 </w:t>
            </w:r>
          </w:p>
        </w:tc>
        <w:tc>
          <w:tcPr>
            <w:tcW w:w="1275" w:type="dxa"/>
            <w:tcBorders>
              <w:bottom w:val="single" w:sz="8" w:space="0" w:color="ACB9CA"/>
              <w:right w:val="single" w:sz="4" w:space="0" w:color="ACB9CA"/>
            </w:tcBorders>
            <w:shd w:val="clear" w:color="000000" w:fill="D9D9D9"/>
            <w:vAlign w:val="center"/>
          </w:tcPr>
          <w:p w:rsidR="006A4D59" w:rsidRPr="0067008A" w:rsidRDefault="00921711" w:rsidP="00677E33">
            <w:pPr>
              <w:spacing w:after="240" w:line="360" w:lineRule="auto"/>
              <w:jc w:val="right"/>
              <w:rPr>
                <w:rFonts w:ascii="Times New Roman" w:eastAsia="Times New Roman" w:hAnsi="Times New Roman" w:cs="Times New Roman"/>
                <w:b/>
                <w:bCs/>
                <w:color w:val="000000"/>
              </w:rPr>
            </w:pPr>
            <w:r w:rsidRPr="0067008A">
              <w:rPr>
                <w:rFonts w:ascii="Times New Roman" w:eastAsia="Times New Roman" w:hAnsi="Times New Roman" w:cs="Times New Roman"/>
                <w:b/>
                <w:bCs/>
                <w:color w:val="000000"/>
              </w:rPr>
              <w:t xml:space="preserve"> 4.578.226.862 </w:t>
            </w:r>
          </w:p>
        </w:tc>
        <w:tc>
          <w:tcPr>
            <w:tcW w:w="1134" w:type="dxa"/>
            <w:tcBorders>
              <w:bottom w:val="single" w:sz="8" w:space="0" w:color="ACB9CA"/>
              <w:right w:val="single" w:sz="4" w:space="0" w:color="ACB9CA"/>
            </w:tcBorders>
            <w:shd w:val="clear" w:color="000000" w:fill="D9D9D9"/>
            <w:vAlign w:val="center"/>
          </w:tcPr>
          <w:p w:rsidR="006A4D59" w:rsidRPr="0067008A" w:rsidRDefault="00921711" w:rsidP="00677E33">
            <w:pPr>
              <w:spacing w:after="240" w:line="360" w:lineRule="auto"/>
              <w:jc w:val="right"/>
              <w:rPr>
                <w:rFonts w:ascii="Times New Roman" w:eastAsia="Times New Roman" w:hAnsi="Times New Roman" w:cs="Times New Roman"/>
                <w:b/>
                <w:bCs/>
                <w:color w:val="000000"/>
              </w:rPr>
            </w:pPr>
            <w:r w:rsidRPr="0067008A">
              <w:rPr>
                <w:rFonts w:ascii="Times New Roman" w:eastAsia="Times New Roman" w:hAnsi="Times New Roman" w:cs="Times New Roman"/>
                <w:b/>
                <w:bCs/>
                <w:color w:val="000000"/>
              </w:rPr>
              <w:t xml:space="preserve"> 730.023.466 </w:t>
            </w:r>
          </w:p>
        </w:tc>
        <w:tc>
          <w:tcPr>
            <w:tcW w:w="994" w:type="dxa"/>
            <w:tcBorders>
              <w:bottom w:val="single" w:sz="8" w:space="0" w:color="ACB9CA"/>
              <w:right w:val="single" w:sz="4" w:space="0" w:color="ACB9CA"/>
            </w:tcBorders>
            <w:shd w:val="clear" w:color="000000" w:fill="D9D9D9"/>
            <w:vAlign w:val="center"/>
          </w:tcPr>
          <w:p w:rsidR="006A4D59" w:rsidRPr="0067008A" w:rsidRDefault="00921711" w:rsidP="00677E33">
            <w:pPr>
              <w:spacing w:after="240" w:line="360" w:lineRule="auto"/>
              <w:jc w:val="right"/>
              <w:rPr>
                <w:rFonts w:ascii="Times New Roman" w:eastAsia="Times New Roman" w:hAnsi="Times New Roman" w:cs="Times New Roman"/>
                <w:b/>
                <w:bCs/>
                <w:color w:val="000000"/>
              </w:rPr>
            </w:pPr>
            <w:r w:rsidRPr="0067008A">
              <w:rPr>
                <w:rFonts w:ascii="Times New Roman" w:eastAsia="Times New Roman" w:hAnsi="Times New Roman" w:cs="Times New Roman"/>
                <w:b/>
                <w:bCs/>
                <w:color w:val="000000"/>
              </w:rPr>
              <w:t xml:space="preserve"> 5.004.336 </w:t>
            </w:r>
          </w:p>
        </w:tc>
        <w:tc>
          <w:tcPr>
            <w:tcW w:w="1274" w:type="dxa"/>
            <w:tcBorders>
              <w:bottom w:val="single" w:sz="8" w:space="0" w:color="ACB9CA"/>
              <w:right w:val="single" w:sz="4" w:space="0" w:color="ACB9CA"/>
            </w:tcBorders>
            <w:shd w:val="clear" w:color="000000" w:fill="D9D9D9"/>
            <w:vAlign w:val="center"/>
          </w:tcPr>
          <w:p w:rsidR="006A4D59" w:rsidRPr="0067008A" w:rsidRDefault="00921711" w:rsidP="00677E33">
            <w:pPr>
              <w:spacing w:after="240" w:line="360" w:lineRule="auto"/>
              <w:jc w:val="right"/>
              <w:rPr>
                <w:rFonts w:ascii="Times New Roman" w:eastAsia="Times New Roman" w:hAnsi="Times New Roman" w:cs="Times New Roman"/>
                <w:b/>
                <w:bCs/>
                <w:color w:val="000000"/>
              </w:rPr>
            </w:pPr>
            <w:r w:rsidRPr="0067008A">
              <w:rPr>
                <w:rFonts w:ascii="Times New Roman" w:eastAsia="Times New Roman" w:hAnsi="Times New Roman" w:cs="Times New Roman"/>
                <w:b/>
                <w:bCs/>
                <w:color w:val="000000"/>
              </w:rPr>
              <w:t xml:space="preserve"> 222.617.867 </w:t>
            </w:r>
          </w:p>
        </w:tc>
      </w:tr>
    </w:tbl>
    <w:p w:rsidR="006A4D59" w:rsidRPr="0067008A" w:rsidRDefault="00921711" w:rsidP="00677E33">
      <w:pPr>
        <w:spacing w:after="240" w:line="360" w:lineRule="auto"/>
        <w:rPr>
          <w:rFonts w:ascii="Times New Roman" w:hAnsi="Times New Roman" w:cs="Times New Roman"/>
        </w:rPr>
      </w:pPr>
      <w:r w:rsidRPr="0067008A">
        <w:rPr>
          <w:rFonts w:ascii="Times New Roman" w:hAnsi="Times New Roman" w:cs="Times New Roman"/>
        </w:rPr>
        <w:t>Fuente: (SRI 2021)</w:t>
      </w:r>
    </w:p>
    <w:p w:rsidR="006A4D59" w:rsidRPr="0067008A" w:rsidRDefault="006A4D59" w:rsidP="00677E33">
      <w:pPr>
        <w:spacing w:after="240" w:line="360" w:lineRule="auto"/>
        <w:rPr>
          <w:rFonts w:ascii="Times New Roman" w:hAnsi="Times New Roman" w:cs="Times New Roman"/>
        </w:rPr>
      </w:pPr>
    </w:p>
    <w:p w:rsidR="006A4D59" w:rsidRPr="0067008A" w:rsidRDefault="006A4D59" w:rsidP="00677E33">
      <w:pPr>
        <w:spacing w:after="240" w:line="360" w:lineRule="auto"/>
        <w:rPr>
          <w:rFonts w:ascii="Times New Roman" w:hAnsi="Times New Roman" w:cs="Times New Roman"/>
        </w:rPr>
      </w:pPr>
    </w:p>
    <w:p w:rsidR="006A4D59" w:rsidRPr="0067008A" w:rsidRDefault="00921711" w:rsidP="00677E33">
      <w:pPr>
        <w:pStyle w:val="Descripcin"/>
        <w:spacing w:after="240" w:line="360" w:lineRule="auto"/>
        <w:rPr>
          <w:rFonts w:ascii="Times New Roman" w:hAnsi="Times New Roman" w:cs="Times New Roman"/>
          <w:sz w:val="22"/>
          <w:szCs w:val="22"/>
        </w:rPr>
      </w:pPr>
      <w:r w:rsidRPr="0067008A">
        <w:rPr>
          <w:rFonts w:ascii="Times New Roman" w:hAnsi="Times New Roman" w:cs="Times New Roman"/>
          <w:sz w:val="22"/>
          <w:szCs w:val="22"/>
        </w:rPr>
        <w:t xml:space="preserve">Tabla </w:t>
      </w:r>
      <w:r w:rsidRPr="0067008A">
        <w:rPr>
          <w:rFonts w:ascii="Times New Roman" w:hAnsi="Times New Roman" w:cs="Times New Roman"/>
          <w:sz w:val="22"/>
          <w:szCs w:val="22"/>
        </w:rPr>
        <w:fldChar w:fldCharType="begin"/>
      </w:r>
      <w:r w:rsidRPr="0067008A">
        <w:rPr>
          <w:rFonts w:ascii="Times New Roman" w:hAnsi="Times New Roman" w:cs="Times New Roman"/>
          <w:sz w:val="22"/>
          <w:szCs w:val="22"/>
        </w:rPr>
        <w:instrText>SEQ Tabla \* ARABIC</w:instrText>
      </w:r>
      <w:r w:rsidRPr="0067008A">
        <w:rPr>
          <w:rFonts w:ascii="Times New Roman" w:hAnsi="Times New Roman" w:cs="Times New Roman"/>
          <w:sz w:val="22"/>
          <w:szCs w:val="22"/>
        </w:rPr>
        <w:fldChar w:fldCharType="separate"/>
      </w:r>
      <w:r w:rsidR="0029216E" w:rsidRPr="0067008A">
        <w:rPr>
          <w:rFonts w:ascii="Times New Roman" w:hAnsi="Times New Roman" w:cs="Times New Roman"/>
          <w:noProof/>
          <w:sz w:val="22"/>
          <w:szCs w:val="22"/>
        </w:rPr>
        <w:t>13</w:t>
      </w:r>
      <w:r w:rsidRPr="0067008A">
        <w:rPr>
          <w:rFonts w:ascii="Times New Roman" w:hAnsi="Times New Roman" w:cs="Times New Roman"/>
          <w:sz w:val="22"/>
          <w:szCs w:val="22"/>
        </w:rPr>
        <w:fldChar w:fldCharType="end"/>
      </w:r>
      <w:r w:rsidRPr="0067008A">
        <w:rPr>
          <w:rFonts w:ascii="Times New Roman" w:hAnsi="Times New Roman" w:cs="Times New Roman"/>
          <w:sz w:val="22"/>
          <w:szCs w:val="22"/>
        </w:rPr>
        <w:t xml:space="preserve"> Ingresos e impuestos causados, grupo Banco de Guayaquil, 2019, en USD</w:t>
      </w:r>
    </w:p>
    <w:p w:rsidR="006A4D59" w:rsidRPr="0067008A" w:rsidRDefault="006A4D59" w:rsidP="00677E33">
      <w:pPr>
        <w:spacing w:after="240" w:line="360" w:lineRule="auto"/>
        <w:rPr>
          <w:rFonts w:ascii="Times New Roman" w:hAnsi="Times New Roman" w:cs="Times New Roman"/>
        </w:rPr>
      </w:pPr>
    </w:p>
    <w:tbl>
      <w:tblPr>
        <w:tblW w:w="9142" w:type="dxa"/>
        <w:tblBorders>
          <w:top w:val="single" w:sz="4" w:space="0" w:color="ACB9CA"/>
          <w:left w:val="single" w:sz="8" w:space="0" w:color="ACB9CA"/>
          <w:bottom w:val="single" w:sz="4" w:space="0" w:color="ACB9CA"/>
          <w:right w:val="single" w:sz="4" w:space="0" w:color="ACB9CA"/>
          <w:insideH w:val="single" w:sz="4" w:space="0" w:color="ACB9CA"/>
          <w:insideV w:val="single" w:sz="4" w:space="0" w:color="ACB9CA"/>
        </w:tblBorders>
        <w:tblCellMar>
          <w:left w:w="60" w:type="dxa"/>
          <w:right w:w="70" w:type="dxa"/>
        </w:tblCellMar>
        <w:tblLook w:val="04A0" w:firstRow="1" w:lastRow="0" w:firstColumn="1" w:lastColumn="0" w:noHBand="0" w:noVBand="1"/>
      </w:tblPr>
      <w:tblGrid>
        <w:gridCol w:w="2049"/>
        <w:gridCol w:w="1120"/>
        <w:gridCol w:w="1230"/>
        <w:gridCol w:w="1395"/>
        <w:gridCol w:w="1230"/>
        <w:gridCol w:w="1011"/>
        <w:gridCol w:w="1230"/>
      </w:tblGrid>
      <w:tr w:rsidR="006A4D59" w:rsidRPr="0067008A">
        <w:trPr>
          <w:trHeight w:val="1400"/>
        </w:trPr>
        <w:tc>
          <w:tcPr>
            <w:tcW w:w="2621" w:type="dxa"/>
            <w:tcBorders>
              <w:top w:val="single" w:sz="4" w:space="0" w:color="ACB9CA"/>
              <w:left w:val="single" w:sz="8" w:space="0" w:color="ACB9CA"/>
              <w:bottom w:val="single" w:sz="4" w:space="0" w:color="ACB9CA"/>
              <w:right w:val="single" w:sz="4" w:space="0" w:color="ACB9CA"/>
            </w:tcBorders>
            <w:shd w:val="clear" w:color="000000" w:fill="D6DCE4"/>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333F4F"/>
              </w:rPr>
            </w:pPr>
            <w:r w:rsidRPr="0067008A">
              <w:rPr>
                <w:rFonts w:ascii="Times New Roman" w:eastAsia="Times New Roman" w:hAnsi="Times New Roman" w:cs="Times New Roman"/>
                <w:b/>
                <w:bCs/>
                <w:color w:val="333F4F"/>
              </w:rPr>
              <w:t>Razón Social Integrante</w:t>
            </w:r>
          </w:p>
        </w:tc>
        <w:tc>
          <w:tcPr>
            <w:tcW w:w="1134" w:type="dxa"/>
            <w:tcBorders>
              <w:top w:val="single" w:sz="4" w:space="0" w:color="8EA9DB"/>
              <w:left w:val="single" w:sz="4" w:space="0" w:color="8EA9DB"/>
              <w:bottom w:val="single" w:sz="4" w:space="0" w:color="8EA9DB"/>
              <w:right w:val="single" w:sz="4" w:space="0" w:color="8EA9DB"/>
            </w:tcBorders>
            <w:shd w:val="clear" w:color="000000" w:fill="0070C0"/>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FFFFFF"/>
              </w:rPr>
            </w:pPr>
            <w:r w:rsidRPr="0067008A">
              <w:rPr>
                <w:rFonts w:ascii="Times New Roman" w:eastAsia="Times New Roman" w:hAnsi="Times New Roman" w:cs="Times New Roman"/>
                <w:b/>
                <w:bCs/>
                <w:color w:val="FFFFFF"/>
              </w:rPr>
              <w:t>Total Impuesto a la Renta Causado 2019</w:t>
            </w:r>
          </w:p>
        </w:tc>
        <w:tc>
          <w:tcPr>
            <w:tcW w:w="992" w:type="dxa"/>
            <w:tcBorders>
              <w:top w:val="single" w:sz="4" w:space="0" w:color="8EA9DB"/>
              <w:bottom w:val="single" w:sz="4" w:space="0" w:color="8EA9DB"/>
              <w:right w:val="single" w:sz="4" w:space="0" w:color="8EA9DB"/>
            </w:tcBorders>
            <w:shd w:val="clear" w:color="000000" w:fill="0070C0"/>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FFFFFF"/>
              </w:rPr>
            </w:pPr>
            <w:r w:rsidRPr="0067008A">
              <w:rPr>
                <w:rFonts w:ascii="Times New Roman" w:eastAsia="Times New Roman" w:hAnsi="Times New Roman" w:cs="Times New Roman"/>
                <w:b/>
                <w:bCs/>
                <w:color w:val="FFFFFF"/>
              </w:rPr>
              <w:t>Total Ingresos 2019</w:t>
            </w:r>
          </w:p>
        </w:tc>
        <w:tc>
          <w:tcPr>
            <w:tcW w:w="1134" w:type="dxa"/>
            <w:tcBorders>
              <w:top w:val="single" w:sz="4" w:space="0" w:color="8EA9DB"/>
              <w:bottom w:val="single" w:sz="4" w:space="0" w:color="8EA9DB"/>
              <w:right w:val="single" w:sz="4" w:space="0" w:color="8EA9DB"/>
            </w:tcBorders>
            <w:shd w:val="clear" w:color="000000" w:fill="0070C0"/>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FFFFFF"/>
              </w:rPr>
            </w:pPr>
            <w:r w:rsidRPr="0067008A">
              <w:rPr>
                <w:rFonts w:ascii="Times New Roman" w:eastAsia="Times New Roman" w:hAnsi="Times New Roman" w:cs="Times New Roman"/>
                <w:b/>
                <w:bCs/>
                <w:color w:val="FFFFFF"/>
              </w:rPr>
              <w:t>Total activo 2019</w:t>
            </w:r>
          </w:p>
        </w:tc>
        <w:tc>
          <w:tcPr>
            <w:tcW w:w="991" w:type="dxa"/>
            <w:tcBorders>
              <w:top w:val="single" w:sz="4" w:space="0" w:color="8EA9DB"/>
              <w:bottom w:val="single" w:sz="4" w:space="0" w:color="8EA9DB"/>
              <w:right w:val="single" w:sz="4" w:space="0" w:color="8EA9DB"/>
            </w:tcBorders>
            <w:shd w:val="clear" w:color="000000" w:fill="0070C0"/>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FFFFFF"/>
              </w:rPr>
            </w:pPr>
            <w:r w:rsidRPr="0067008A">
              <w:rPr>
                <w:rFonts w:ascii="Times New Roman" w:eastAsia="Times New Roman" w:hAnsi="Times New Roman" w:cs="Times New Roman"/>
                <w:b/>
                <w:bCs/>
                <w:color w:val="FFFFFF"/>
              </w:rPr>
              <w:t>Total patrimonio neto 2019</w:t>
            </w:r>
          </w:p>
        </w:tc>
        <w:tc>
          <w:tcPr>
            <w:tcW w:w="1134" w:type="dxa"/>
            <w:tcBorders>
              <w:top w:val="single" w:sz="4" w:space="0" w:color="8EA9DB"/>
              <w:bottom w:val="single" w:sz="4" w:space="0" w:color="8EA9DB"/>
              <w:right w:val="single" w:sz="4" w:space="0" w:color="8EA9DB"/>
            </w:tcBorders>
            <w:shd w:val="clear" w:color="000000" w:fill="0070C0"/>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FFFFFF"/>
              </w:rPr>
            </w:pPr>
            <w:r w:rsidRPr="0067008A">
              <w:rPr>
                <w:rFonts w:ascii="Times New Roman" w:eastAsia="Times New Roman" w:hAnsi="Times New Roman" w:cs="Times New Roman"/>
                <w:b/>
                <w:bCs/>
                <w:color w:val="FFFFFF"/>
              </w:rPr>
              <w:t>Impuesto a los Activos en el Exterior 2019</w:t>
            </w:r>
          </w:p>
        </w:tc>
        <w:tc>
          <w:tcPr>
            <w:tcW w:w="1135" w:type="dxa"/>
            <w:tcBorders>
              <w:top w:val="single" w:sz="4" w:space="0" w:color="8EA9DB"/>
              <w:bottom w:val="single" w:sz="4" w:space="0" w:color="8EA9DB"/>
              <w:right w:val="single" w:sz="4" w:space="0" w:color="8EA9DB"/>
            </w:tcBorders>
            <w:shd w:val="clear" w:color="000000" w:fill="0070C0"/>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FFFFFF"/>
              </w:rPr>
            </w:pPr>
            <w:r w:rsidRPr="0067008A">
              <w:rPr>
                <w:rFonts w:ascii="Times New Roman" w:eastAsia="Times New Roman" w:hAnsi="Times New Roman" w:cs="Times New Roman"/>
                <w:b/>
                <w:bCs/>
                <w:color w:val="FFFFFF"/>
              </w:rPr>
              <w:t>Total Recaudado 2019</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ALCIVAR CRESPO MARIA DE LOURDES</w:t>
            </w:r>
          </w:p>
        </w:tc>
        <w:tc>
          <w:tcPr>
            <w:tcW w:w="1134" w:type="dxa"/>
            <w:tcBorders>
              <w:top w:val="single" w:sz="4"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top w:val="single" w:sz="4"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top w:val="single" w:sz="4"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1" w:type="dxa"/>
            <w:tcBorders>
              <w:top w:val="single" w:sz="4"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top w:val="single" w:sz="4"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top w:val="single" w:sz="4"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BANCO GUAYAQUIL S.A.</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28.202.420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536.793.621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5.077.367.682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538.856.263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5.678.838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233.051.174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BANISI</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BANISI HOLDING</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BROTHER'S INVESTMENT LTD.</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32.400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2.786.118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2.786.118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31.165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CARRERA DROUET DANILO EDUARDO</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677.733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1.998.515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13.782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CORPORACION MULTIBG S.A.</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26.045.791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144.867.045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144.853.105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113.654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ACTIVOS DOS MIL CUATRO</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6.688.177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6.688.177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ADMINISTRACION E INVERSION DE BIENES DE CAPITALES TRES</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2.770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104.831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82.330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(6.692)</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4.692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ARBOLEDA DEL SALADO</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3.591.897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3.591.897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60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BG INMUEBLES CERO CERO UNO</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1.301.713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1.035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DE ADMINISTRACION DE FLUJOS OSCTRESPONSE ARRIENDOS</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500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500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DE ADMINISTRACION DE FLUJOS Y PAGOS ECUATORIANO SUIZA</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15.864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15.864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DE ADMINISTRACION DE INMUEBLE BARANDUA III</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1.655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DE ADMINISTRACION DE RECURSOS SAPRENSOTA</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92.251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1.000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120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DE ADMINISTRACION MANHATTAN</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309.253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233.340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379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DE ADMINISTRACION PROYECTO GYD</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1.218.341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1.218.341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DE FLUJOS BRODI STTC</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1.000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1.000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GUZMAN CALERO</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153.736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153.736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INMOBILIARIO BG DOS MIL CUATRO</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3.000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90.442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90.442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8.490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INMOBILIARIO BG DOS MIL NUEVE</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360.018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360.018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14.071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CAPAES</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1.198.619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1.198.619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180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ADMINISTRACION CLM MMS DOS</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2.015.652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2.015.652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ADMINISTRACION CLM-MMS</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4.062.833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9.137.169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9.137.153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241.757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ADMINISTRACION DCD-DOS</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623.596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1.050.242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1.050.226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80.044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ADMINISTRACION DCD-UNO</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935.393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1.575.547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1.575.531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120.014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ADMINISTRACION DE FLUJOS Y PAGOS HOUSE SPORT I</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18.675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18.673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31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ADMINISTRACION E INVERSION PERTENENCIA BG</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11.835.130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11.464.599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833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ADMINISTRACION GLM</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13.457.633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34.362.347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34.362.314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204.195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ADMINISTRACION MELM</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4.948.366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12.327.640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12.298.944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282.454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ADMINISTRACION Y GARANTIA MANUEL EDMUNDO GUTIERREZ OCHOA</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1.060.381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1.060.381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ADMINISTRACION Y PAGOS EXPOGUAYAQUIL</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72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ADMINISTRACION Y PAGOS LATINOEXPRESS - BG</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CARTERA MARCIMEX-BG</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FLUJOS Y PAGOS AGROPERKINS</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3.473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3.470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30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FLUJOS Y PAGOS DISMUNDI</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FLUJOS Y PAGOS EL UNIVERSO</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39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FLUJOS Y PAGOS ESTEBAN ESTRATEGIAS DE DISEÑO</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804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500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25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FLUJOS Y PAGOS FILCASA</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36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FLUJOS Y PAGOS GRAHOGSA</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500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500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FLUJOS Y PAGOS GUIMSA</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7.982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7.979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28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FLUJOS Y PAGOS HOSPIRIO</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29.076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500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213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FLUJOS Y PAGOS JBG</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1.773.063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1.773.013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632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FLUJOS Y PAGOS LA TABLITA</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FLUJOS Y PAGOS TIKALOVA</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1.391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FLUJOS Y PAGOS VALLEJO ARAUJO</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724.706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1.000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GARANTIA DE VEHICULO BG</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2.844.282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2.844.282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1.950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MERCANTIL DE GARANTIAS DEL FONDO DE LIQUIDEZ DEL SISTEMA FINANCIERO PRIVADO BANCO GUAYAQUIL S.A.</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60.308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60.308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FIDEICOMISO MULTIPREDIOS UNO</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6.222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238.013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94.098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92.201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5.027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GRUPO CORPORATIVO YOU YOUCORP S.A.</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324.515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324.515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120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LASALFILMS S.A.</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LASSO ALCIVAR GUILLERMO ENRIQUE</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64.241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277.598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7.102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LASSO ALCIVAR MARIA DE LOURDES</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LASSO ALCIVAR MARIA MERCEDES</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LASSO ALCIVAR SANTIAGO XAVIER</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LASSO MENDOZA CARLOS JORGE</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932.655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2.768.957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47.535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LASSO MENDOZA GUILLERMO ALBERTO SANTIAGO</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696.162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2.039.858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3.398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LASSO MENDOZA MARIA EUGENIA</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1.091.990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3.182.105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5.553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MUÑOZ SALGADO MERCEDES LEONOR</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24.208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137.187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13.230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PROMOQUIL S.A.</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2.729.766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15.352.003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15.352.003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120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SOUTH PACIFIC INVESTORS LTD</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936.314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455.559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10.794 </w:t>
            </w:r>
          </w:p>
        </w:tc>
      </w:tr>
      <w:tr w:rsidR="006A4D59" w:rsidRPr="0067008A">
        <w:trPr>
          <w:trHeight w:val="280"/>
        </w:trPr>
        <w:tc>
          <w:tcPr>
            <w:tcW w:w="2621" w:type="dxa"/>
            <w:tcBorders>
              <w:left w:val="single" w:sz="8" w:space="0" w:color="ACB9CA"/>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rPr>
                <w:rFonts w:ascii="Times New Roman" w:eastAsia="Times New Roman" w:hAnsi="Times New Roman" w:cs="Times New Roman"/>
                <w:color w:val="000000"/>
              </w:rPr>
            </w:pPr>
            <w:r w:rsidRPr="0067008A">
              <w:rPr>
                <w:rFonts w:ascii="Times New Roman" w:eastAsia="Times New Roman" w:hAnsi="Times New Roman" w:cs="Times New Roman"/>
                <w:color w:val="000000"/>
              </w:rPr>
              <w:t>YOU TRAVEL AGENCY S.A. YTA AGENCIA DE VIAJES Y TURISMO</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48.169 </w:t>
            </w:r>
          </w:p>
        </w:tc>
        <w:tc>
          <w:tcPr>
            <w:tcW w:w="992"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1.261.847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740.782 </w:t>
            </w:r>
          </w:p>
        </w:tc>
        <w:tc>
          <w:tcPr>
            <w:tcW w:w="991"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491.160 </w:t>
            </w:r>
          </w:p>
        </w:tc>
        <w:tc>
          <w:tcPr>
            <w:tcW w:w="1134"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w:t>
            </w:r>
            <w:r w:rsidR="00677E33" w:rsidRPr="0067008A">
              <w:rPr>
                <w:rFonts w:ascii="Times New Roman" w:eastAsia="Times New Roman" w:hAnsi="Times New Roman" w:cs="Times New Roman"/>
                <w:color w:val="000000"/>
              </w:rPr>
              <w:t xml:space="preserve"> </w:t>
            </w:r>
          </w:p>
        </w:tc>
        <w:tc>
          <w:tcPr>
            <w:tcW w:w="1135" w:type="dxa"/>
            <w:tcBorders>
              <w:bottom w:val="single" w:sz="4" w:space="0" w:color="ACB9CA"/>
              <w:right w:val="single" w:sz="4" w:space="0" w:color="ACB9CA"/>
            </w:tcBorders>
            <w:shd w:val="clear" w:color="auto" w:fill="auto"/>
            <w:vAlign w:val="center"/>
          </w:tcPr>
          <w:p w:rsidR="006A4D59" w:rsidRPr="0067008A" w:rsidRDefault="00921711" w:rsidP="00677E33">
            <w:pPr>
              <w:spacing w:after="240" w:line="360" w:lineRule="auto"/>
              <w:jc w:val="right"/>
              <w:rPr>
                <w:rFonts w:ascii="Times New Roman" w:eastAsia="Times New Roman" w:hAnsi="Times New Roman" w:cs="Times New Roman"/>
                <w:color w:val="000000"/>
              </w:rPr>
            </w:pPr>
            <w:r w:rsidRPr="0067008A">
              <w:rPr>
                <w:rFonts w:ascii="Times New Roman" w:eastAsia="Times New Roman" w:hAnsi="Times New Roman" w:cs="Times New Roman"/>
                <w:color w:val="000000"/>
              </w:rPr>
              <w:t xml:space="preserve"> 121.102 </w:t>
            </w:r>
          </w:p>
        </w:tc>
      </w:tr>
      <w:tr w:rsidR="006A4D59" w:rsidRPr="0067008A">
        <w:trPr>
          <w:trHeight w:val="300"/>
        </w:trPr>
        <w:tc>
          <w:tcPr>
            <w:tcW w:w="2621" w:type="dxa"/>
            <w:tcBorders>
              <w:left w:val="single" w:sz="8" w:space="0" w:color="ACB9CA"/>
              <w:bottom w:val="single" w:sz="8" w:space="0" w:color="ACB9CA"/>
              <w:right w:val="single" w:sz="4" w:space="0" w:color="ACB9CA"/>
            </w:tcBorders>
            <w:shd w:val="clear" w:color="000000" w:fill="D9D9D9"/>
            <w:vAlign w:val="center"/>
          </w:tcPr>
          <w:p w:rsidR="006A4D59" w:rsidRPr="0067008A" w:rsidRDefault="00921711" w:rsidP="00677E33">
            <w:pPr>
              <w:spacing w:after="240" w:line="360" w:lineRule="auto"/>
              <w:jc w:val="center"/>
              <w:rPr>
                <w:rFonts w:ascii="Times New Roman" w:eastAsia="Times New Roman" w:hAnsi="Times New Roman" w:cs="Times New Roman"/>
                <w:b/>
                <w:bCs/>
                <w:color w:val="000000"/>
              </w:rPr>
            </w:pPr>
            <w:r w:rsidRPr="0067008A">
              <w:rPr>
                <w:rFonts w:ascii="Times New Roman" w:eastAsia="Times New Roman" w:hAnsi="Times New Roman" w:cs="Times New Roman"/>
                <w:b/>
                <w:bCs/>
                <w:color w:val="000000"/>
              </w:rPr>
              <w:t xml:space="preserve">TOTAL GENERAL </w:t>
            </w:r>
          </w:p>
        </w:tc>
        <w:tc>
          <w:tcPr>
            <w:tcW w:w="1134" w:type="dxa"/>
            <w:tcBorders>
              <w:bottom w:val="single" w:sz="8" w:space="0" w:color="ACB9CA"/>
              <w:right w:val="single" w:sz="4" w:space="0" w:color="ACB9CA"/>
            </w:tcBorders>
            <w:shd w:val="clear" w:color="000000" w:fill="D9D9D9"/>
            <w:vAlign w:val="center"/>
          </w:tcPr>
          <w:p w:rsidR="006A4D59" w:rsidRPr="0067008A" w:rsidRDefault="00921711" w:rsidP="00677E33">
            <w:pPr>
              <w:spacing w:after="240" w:line="360" w:lineRule="auto"/>
              <w:jc w:val="right"/>
              <w:rPr>
                <w:rFonts w:ascii="Times New Roman" w:eastAsia="Times New Roman" w:hAnsi="Times New Roman" w:cs="Times New Roman"/>
                <w:b/>
                <w:bCs/>
                <w:color w:val="000000"/>
              </w:rPr>
            </w:pPr>
            <w:r w:rsidRPr="0067008A">
              <w:rPr>
                <w:rFonts w:ascii="Times New Roman" w:eastAsia="Times New Roman" w:hAnsi="Times New Roman" w:cs="Times New Roman"/>
                <w:b/>
                <w:bCs/>
                <w:color w:val="000000"/>
              </w:rPr>
              <w:t xml:space="preserve"> 31.746.570 </w:t>
            </w:r>
          </w:p>
        </w:tc>
        <w:tc>
          <w:tcPr>
            <w:tcW w:w="992" w:type="dxa"/>
            <w:tcBorders>
              <w:bottom w:val="single" w:sz="8" w:space="0" w:color="ACB9CA"/>
              <w:right w:val="single" w:sz="4" w:space="0" w:color="ACB9CA"/>
            </w:tcBorders>
            <w:shd w:val="clear" w:color="000000" w:fill="D9D9D9"/>
            <w:vAlign w:val="center"/>
          </w:tcPr>
          <w:p w:rsidR="006A4D59" w:rsidRPr="0067008A" w:rsidRDefault="00921711" w:rsidP="00677E33">
            <w:pPr>
              <w:spacing w:after="240" w:line="360" w:lineRule="auto"/>
              <w:jc w:val="right"/>
              <w:rPr>
                <w:rFonts w:ascii="Times New Roman" w:eastAsia="Times New Roman" w:hAnsi="Times New Roman" w:cs="Times New Roman"/>
                <w:b/>
                <w:bCs/>
                <w:color w:val="000000"/>
              </w:rPr>
            </w:pPr>
            <w:r w:rsidRPr="0067008A">
              <w:rPr>
                <w:rFonts w:ascii="Times New Roman" w:eastAsia="Times New Roman" w:hAnsi="Times New Roman" w:cs="Times New Roman"/>
                <w:b/>
                <w:bCs/>
                <w:color w:val="000000"/>
              </w:rPr>
              <w:t xml:space="preserve"> 601.641.310 </w:t>
            </w:r>
          </w:p>
        </w:tc>
        <w:tc>
          <w:tcPr>
            <w:tcW w:w="1134" w:type="dxa"/>
            <w:tcBorders>
              <w:bottom w:val="single" w:sz="8" w:space="0" w:color="ACB9CA"/>
              <w:right w:val="single" w:sz="4" w:space="0" w:color="ACB9CA"/>
            </w:tcBorders>
            <w:shd w:val="clear" w:color="000000" w:fill="D9D9D9"/>
            <w:vAlign w:val="center"/>
          </w:tcPr>
          <w:p w:rsidR="006A4D59" w:rsidRPr="0067008A" w:rsidRDefault="00921711" w:rsidP="00677E33">
            <w:pPr>
              <w:spacing w:after="240" w:line="360" w:lineRule="auto"/>
              <w:jc w:val="right"/>
              <w:rPr>
                <w:rFonts w:ascii="Times New Roman" w:eastAsia="Times New Roman" w:hAnsi="Times New Roman" w:cs="Times New Roman"/>
                <w:b/>
                <w:bCs/>
                <w:color w:val="000000"/>
              </w:rPr>
            </w:pPr>
            <w:r w:rsidRPr="0067008A">
              <w:rPr>
                <w:rFonts w:ascii="Times New Roman" w:eastAsia="Times New Roman" w:hAnsi="Times New Roman" w:cs="Times New Roman"/>
                <w:b/>
                <w:bCs/>
                <w:color w:val="000000"/>
              </w:rPr>
              <w:t xml:space="preserve"> 5.336.401.081 </w:t>
            </w:r>
          </w:p>
        </w:tc>
        <w:tc>
          <w:tcPr>
            <w:tcW w:w="991" w:type="dxa"/>
            <w:tcBorders>
              <w:bottom w:val="single" w:sz="8" w:space="0" w:color="ACB9CA"/>
              <w:right w:val="single" w:sz="4" w:space="0" w:color="ACB9CA"/>
            </w:tcBorders>
            <w:shd w:val="clear" w:color="000000" w:fill="D9D9D9"/>
            <w:vAlign w:val="center"/>
          </w:tcPr>
          <w:p w:rsidR="006A4D59" w:rsidRPr="0067008A" w:rsidRDefault="00921711" w:rsidP="00677E33">
            <w:pPr>
              <w:spacing w:after="240" w:line="360" w:lineRule="auto"/>
              <w:jc w:val="right"/>
              <w:rPr>
                <w:rFonts w:ascii="Times New Roman" w:eastAsia="Times New Roman" w:hAnsi="Times New Roman" w:cs="Times New Roman"/>
                <w:b/>
                <w:bCs/>
                <w:color w:val="000000"/>
              </w:rPr>
            </w:pPr>
            <w:r w:rsidRPr="0067008A">
              <w:rPr>
                <w:rFonts w:ascii="Times New Roman" w:eastAsia="Times New Roman" w:hAnsi="Times New Roman" w:cs="Times New Roman"/>
                <w:b/>
                <w:bCs/>
                <w:color w:val="000000"/>
              </w:rPr>
              <w:t xml:space="preserve"> 794.433.226 </w:t>
            </w:r>
          </w:p>
        </w:tc>
        <w:tc>
          <w:tcPr>
            <w:tcW w:w="1134" w:type="dxa"/>
            <w:tcBorders>
              <w:bottom w:val="single" w:sz="8" w:space="0" w:color="ACB9CA"/>
              <w:right w:val="single" w:sz="4" w:space="0" w:color="ACB9CA"/>
            </w:tcBorders>
            <w:shd w:val="clear" w:color="000000" w:fill="D9D9D9"/>
            <w:vAlign w:val="center"/>
          </w:tcPr>
          <w:p w:rsidR="006A4D59" w:rsidRPr="0067008A" w:rsidRDefault="00921711" w:rsidP="00677E33">
            <w:pPr>
              <w:spacing w:after="240" w:line="360" w:lineRule="auto"/>
              <w:jc w:val="right"/>
              <w:rPr>
                <w:rFonts w:ascii="Times New Roman" w:eastAsia="Times New Roman" w:hAnsi="Times New Roman" w:cs="Times New Roman"/>
                <w:b/>
                <w:bCs/>
                <w:color w:val="000000"/>
              </w:rPr>
            </w:pPr>
            <w:r w:rsidRPr="0067008A">
              <w:rPr>
                <w:rFonts w:ascii="Times New Roman" w:eastAsia="Times New Roman" w:hAnsi="Times New Roman" w:cs="Times New Roman"/>
                <w:b/>
                <w:bCs/>
                <w:color w:val="000000"/>
              </w:rPr>
              <w:t xml:space="preserve"> 5.678.838 </w:t>
            </w:r>
          </w:p>
        </w:tc>
        <w:tc>
          <w:tcPr>
            <w:tcW w:w="1135" w:type="dxa"/>
            <w:tcBorders>
              <w:bottom w:val="single" w:sz="8" w:space="0" w:color="ACB9CA"/>
              <w:right w:val="single" w:sz="4" w:space="0" w:color="ACB9CA"/>
            </w:tcBorders>
            <w:shd w:val="clear" w:color="000000" w:fill="D9D9D9"/>
            <w:vAlign w:val="center"/>
          </w:tcPr>
          <w:p w:rsidR="006A4D59" w:rsidRPr="0067008A" w:rsidRDefault="00921711" w:rsidP="00677E33">
            <w:pPr>
              <w:spacing w:after="240" w:line="360" w:lineRule="auto"/>
              <w:jc w:val="right"/>
              <w:rPr>
                <w:rFonts w:ascii="Times New Roman" w:eastAsia="Times New Roman" w:hAnsi="Times New Roman" w:cs="Times New Roman"/>
                <w:b/>
                <w:bCs/>
                <w:color w:val="000000"/>
              </w:rPr>
            </w:pPr>
            <w:r w:rsidRPr="0067008A">
              <w:rPr>
                <w:rFonts w:ascii="Times New Roman" w:eastAsia="Times New Roman" w:hAnsi="Times New Roman" w:cs="Times New Roman"/>
                <w:b/>
                <w:bCs/>
                <w:color w:val="000000"/>
              </w:rPr>
              <w:t xml:space="preserve"> 234.385.757 </w:t>
            </w:r>
          </w:p>
        </w:tc>
      </w:tr>
    </w:tbl>
    <w:p w:rsidR="006A4D59" w:rsidRPr="0067008A" w:rsidRDefault="00921711" w:rsidP="00677E33">
      <w:pPr>
        <w:spacing w:after="240" w:line="360" w:lineRule="auto"/>
        <w:rPr>
          <w:rFonts w:ascii="Times New Roman" w:hAnsi="Times New Roman" w:cs="Times New Roman"/>
        </w:rPr>
      </w:pPr>
      <w:r w:rsidRPr="0067008A">
        <w:rPr>
          <w:rFonts w:ascii="Times New Roman" w:hAnsi="Times New Roman" w:cs="Times New Roman"/>
        </w:rPr>
        <w:t>Fuente: (SRI 2021)</w:t>
      </w:r>
    </w:p>
    <w:p w:rsidR="006A4D59" w:rsidRPr="0067008A" w:rsidRDefault="006A4D59" w:rsidP="00677E33">
      <w:pPr>
        <w:spacing w:after="240" w:line="360" w:lineRule="auto"/>
        <w:rPr>
          <w:rFonts w:ascii="Times New Roman" w:hAnsi="Times New Roman" w:cs="Times New Roman"/>
        </w:rPr>
      </w:pPr>
    </w:p>
    <w:p w:rsidR="006A4D59" w:rsidRPr="0067008A" w:rsidRDefault="006A4D59" w:rsidP="00677E33">
      <w:pPr>
        <w:spacing w:after="240" w:line="360" w:lineRule="auto"/>
        <w:rPr>
          <w:rFonts w:ascii="Times New Roman" w:hAnsi="Times New Roman" w:cs="Times New Roman"/>
        </w:rPr>
      </w:pPr>
    </w:p>
    <w:p w:rsidR="006A4D59" w:rsidRPr="0067008A" w:rsidRDefault="00921711" w:rsidP="00677E33">
      <w:pPr>
        <w:spacing w:after="240" w:line="360" w:lineRule="auto"/>
        <w:rPr>
          <w:rFonts w:ascii="Times New Roman" w:hAnsi="Times New Roman" w:cs="Times New Roman"/>
          <w:b/>
        </w:rPr>
      </w:pPr>
      <w:r w:rsidRPr="0067008A">
        <w:rPr>
          <w:rFonts w:ascii="Times New Roman" w:hAnsi="Times New Roman" w:cs="Times New Roman"/>
          <w:b/>
        </w:rPr>
        <w:t>Resultados de la sistematización de los datos</w:t>
      </w:r>
    </w:p>
    <w:p w:rsidR="006A4D59" w:rsidRPr="0067008A" w:rsidRDefault="006A4D59" w:rsidP="00677E33">
      <w:pPr>
        <w:spacing w:after="240" w:line="360" w:lineRule="auto"/>
        <w:rPr>
          <w:rFonts w:ascii="Times New Roman" w:hAnsi="Times New Roman" w:cs="Times New Roman"/>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En la información recabada por el SRI no consta ninguna de las operaciones realizadas por el grupo Banco de Guayaquil en sus operaciones off shore. No constan ninguno de los fideicomisos que son el centro de gravedad del grupo, como por ejemplo, los fideicomisos que son propietarios de la corporación MULTIBG S.A. Tampoco consta información sobre BANISI y BANISI HOLDING S.A., ni tampoco consta ninguna de las off shore creadas por el grupo en estos años. De las más de 60 empresas, solamente 10 de ellas presentan información de pago del impuesto a la renta.</w:t>
      </w:r>
    </w:p>
    <w:p w:rsidR="006A4D59" w:rsidRPr="0067008A" w:rsidRDefault="006A4D59" w:rsidP="00677E33">
      <w:pPr>
        <w:spacing w:after="240" w:line="360" w:lineRule="auto"/>
        <w:rPr>
          <w:rFonts w:ascii="Times New Roman" w:hAnsi="Times New Roman" w:cs="Times New Roman"/>
        </w:rPr>
      </w:pPr>
    </w:p>
    <w:p w:rsidR="006A4D59" w:rsidRPr="0067008A" w:rsidRDefault="00921711" w:rsidP="00677E33">
      <w:pPr>
        <w:spacing w:after="240" w:line="360" w:lineRule="auto"/>
        <w:rPr>
          <w:rFonts w:ascii="Times New Roman" w:hAnsi="Times New Roman" w:cs="Times New Roman"/>
          <w:b/>
        </w:rPr>
      </w:pPr>
      <w:r w:rsidRPr="0067008A">
        <w:rPr>
          <w:rFonts w:ascii="Times New Roman" w:hAnsi="Times New Roman" w:cs="Times New Roman"/>
          <w:b/>
        </w:rPr>
        <w:t>Análisis del comportamiento tributario del grupo Banco de Guayaquil</w:t>
      </w:r>
    </w:p>
    <w:p w:rsidR="006A4D59" w:rsidRPr="0067008A" w:rsidRDefault="006A4D59" w:rsidP="00677E33">
      <w:pPr>
        <w:spacing w:after="240" w:line="360" w:lineRule="auto"/>
        <w:rPr>
          <w:rFonts w:ascii="Times New Roman" w:hAnsi="Times New Roman" w:cs="Times New Roman"/>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Si se comparan el impuesto que las empresas del grupo han pagado versus los ingresos generados. Para el efecto se presenta un mapa de calor en donde</w:t>
      </w:r>
      <w:r w:rsidR="00677E33" w:rsidRPr="0067008A">
        <w:rPr>
          <w:rFonts w:ascii="Times New Roman" w:hAnsi="Times New Roman" w:cs="Times New Roman"/>
        </w:rPr>
        <w:t xml:space="preserve"> </w:t>
      </w:r>
      <w:r w:rsidRPr="0067008A">
        <w:rPr>
          <w:rFonts w:ascii="Times New Roman" w:hAnsi="Times New Roman" w:cs="Times New Roman"/>
        </w:rPr>
        <w:t>el color verde son las empresas que más han tributado mientras que las que están en rojo son las que menos han tributado. La información en blanco es porque no hay ningún dato de tributos. Hay algunos miembros del grupo que nunca han tributado a pesar de ser miembros importantes del grupo como María del Lourdes Alcívar Crespo.</w:t>
      </w:r>
    </w:p>
    <w:p w:rsidR="006A4D59" w:rsidRPr="0067008A" w:rsidRDefault="006A4D59" w:rsidP="00677E33">
      <w:pPr>
        <w:spacing w:after="240" w:line="360" w:lineRule="auto"/>
        <w:rPr>
          <w:rFonts w:ascii="Times New Roman" w:hAnsi="Times New Roman" w:cs="Times New Roman"/>
        </w:rPr>
      </w:pPr>
    </w:p>
    <w:p w:rsidR="006A4D59" w:rsidRPr="0067008A" w:rsidRDefault="00921711" w:rsidP="00677E33">
      <w:pPr>
        <w:pStyle w:val="Descripcin"/>
        <w:spacing w:after="240" w:line="360" w:lineRule="auto"/>
        <w:rPr>
          <w:rFonts w:ascii="Times New Roman" w:hAnsi="Times New Roman" w:cs="Times New Roman"/>
          <w:sz w:val="22"/>
          <w:szCs w:val="22"/>
        </w:rPr>
      </w:pPr>
      <w:r w:rsidRPr="0067008A">
        <w:rPr>
          <w:rFonts w:ascii="Times New Roman" w:hAnsi="Times New Roman" w:cs="Times New Roman"/>
          <w:sz w:val="22"/>
          <w:szCs w:val="22"/>
        </w:rPr>
        <w:t xml:space="preserve">Tabla </w:t>
      </w:r>
      <w:r w:rsidRPr="0067008A">
        <w:rPr>
          <w:rFonts w:ascii="Times New Roman" w:hAnsi="Times New Roman" w:cs="Times New Roman"/>
          <w:sz w:val="22"/>
          <w:szCs w:val="22"/>
        </w:rPr>
        <w:fldChar w:fldCharType="begin"/>
      </w:r>
      <w:r w:rsidRPr="0067008A">
        <w:rPr>
          <w:rFonts w:ascii="Times New Roman" w:hAnsi="Times New Roman" w:cs="Times New Roman"/>
          <w:sz w:val="22"/>
          <w:szCs w:val="22"/>
        </w:rPr>
        <w:instrText>SEQ Tabla \* ARABIC</w:instrText>
      </w:r>
      <w:r w:rsidRPr="0067008A">
        <w:rPr>
          <w:rFonts w:ascii="Times New Roman" w:hAnsi="Times New Roman" w:cs="Times New Roman"/>
          <w:sz w:val="22"/>
          <w:szCs w:val="22"/>
        </w:rPr>
        <w:fldChar w:fldCharType="separate"/>
      </w:r>
      <w:r w:rsidR="0029216E" w:rsidRPr="0067008A">
        <w:rPr>
          <w:rFonts w:ascii="Times New Roman" w:hAnsi="Times New Roman" w:cs="Times New Roman"/>
          <w:noProof/>
          <w:sz w:val="22"/>
          <w:szCs w:val="22"/>
        </w:rPr>
        <w:t>14</w:t>
      </w:r>
      <w:r w:rsidRPr="0067008A">
        <w:rPr>
          <w:rFonts w:ascii="Times New Roman" w:hAnsi="Times New Roman" w:cs="Times New Roman"/>
          <w:sz w:val="22"/>
          <w:szCs w:val="22"/>
        </w:rPr>
        <w:fldChar w:fldCharType="end"/>
      </w:r>
      <w:r w:rsidRPr="0067008A">
        <w:rPr>
          <w:rFonts w:ascii="Times New Roman" w:hAnsi="Times New Roman" w:cs="Times New Roman"/>
          <w:sz w:val="22"/>
          <w:szCs w:val="22"/>
        </w:rPr>
        <w:t xml:space="preserve"> Mapa de calor sobre la tributación del grupo Banco de Guayaquil, 2008-2019, en %</w:t>
      </w:r>
    </w:p>
    <w:tbl>
      <w:tblPr>
        <w:tblW w:w="9480"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2145"/>
        <w:gridCol w:w="709"/>
        <w:gridCol w:w="709"/>
        <w:gridCol w:w="709"/>
        <w:gridCol w:w="819"/>
        <w:gridCol w:w="709"/>
        <w:gridCol w:w="819"/>
        <w:gridCol w:w="819"/>
        <w:gridCol w:w="959"/>
        <w:gridCol w:w="959"/>
        <w:gridCol w:w="959"/>
        <w:gridCol w:w="959"/>
        <w:gridCol w:w="819"/>
        <w:gridCol w:w="959"/>
      </w:tblGrid>
      <w:tr w:rsidR="006A4D59" w:rsidRPr="0067008A">
        <w:trPr>
          <w:trHeight w:val="220"/>
        </w:trPr>
        <w:tc>
          <w:tcPr>
            <w:tcW w:w="15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2008</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2009</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2010</w:t>
            </w: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2011</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2012</w:t>
            </w: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2013</w:t>
            </w: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2014</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2015</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2016</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2017</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2018</w:t>
            </w: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2019</w:t>
            </w: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2020</w:t>
            </w:r>
          </w:p>
        </w:tc>
      </w:tr>
      <w:tr w:rsidR="006A4D59" w:rsidRPr="0067008A">
        <w:trPr>
          <w:trHeight w:val="220"/>
        </w:trPr>
        <w:tc>
          <w:tcPr>
            <w:tcW w:w="15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ADMINISTRADORA DE FONDOS DE INVERSION Y FIDEICOMISOS BG S.A.</w:t>
            </w:r>
          </w:p>
        </w:tc>
        <w:tc>
          <w:tcPr>
            <w:tcW w:w="523" w:type="dxa"/>
            <w:tcBorders>
              <w:top w:val="single" w:sz="4" w:space="0" w:color="000000"/>
              <w:left w:val="single" w:sz="4" w:space="0" w:color="000000"/>
              <w:bottom w:val="single" w:sz="4" w:space="0" w:color="000000"/>
              <w:right w:val="single" w:sz="4" w:space="0" w:color="000000"/>
            </w:tcBorders>
            <w:shd w:val="clear" w:color="000000" w:fill="FEE683"/>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2,18%</w:t>
            </w:r>
          </w:p>
        </w:tc>
        <w:tc>
          <w:tcPr>
            <w:tcW w:w="523" w:type="dxa"/>
            <w:tcBorders>
              <w:top w:val="single" w:sz="4" w:space="0" w:color="000000"/>
              <w:left w:val="single" w:sz="4" w:space="0" w:color="000000"/>
              <w:bottom w:val="single" w:sz="4" w:space="0" w:color="000000"/>
              <w:right w:val="single" w:sz="4" w:space="0" w:color="000000"/>
            </w:tcBorders>
            <w:shd w:val="clear" w:color="000000" w:fill="FED880"/>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1,72%</w:t>
            </w:r>
          </w:p>
        </w:tc>
        <w:tc>
          <w:tcPr>
            <w:tcW w:w="524" w:type="dxa"/>
            <w:tcBorders>
              <w:top w:val="single" w:sz="4" w:space="0" w:color="000000"/>
              <w:left w:val="single" w:sz="4" w:space="0" w:color="000000"/>
              <w:bottom w:val="single" w:sz="4" w:space="0" w:color="000000"/>
              <w:right w:val="single" w:sz="4" w:space="0" w:color="000000"/>
            </w:tcBorders>
            <w:shd w:val="clear" w:color="000000" w:fill="FCBD7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1,86%</w:t>
            </w: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5" w:type="dxa"/>
            <w:tcBorders>
              <w:top w:val="single" w:sz="4" w:space="0" w:color="000000"/>
              <w:left w:val="single" w:sz="4" w:space="0" w:color="000000"/>
              <w:bottom w:val="single" w:sz="4" w:space="0" w:color="000000"/>
              <w:right w:val="single" w:sz="4" w:space="0" w:color="000000"/>
            </w:tcBorders>
            <w:shd w:val="clear" w:color="000000" w:fill="FBAB77"/>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1,91%</w:t>
            </w:r>
          </w:p>
        </w:tc>
      </w:tr>
      <w:tr w:rsidR="006A4D59" w:rsidRPr="0067008A">
        <w:trPr>
          <w:trHeight w:val="220"/>
        </w:trPr>
        <w:tc>
          <w:tcPr>
            <w:tcW w:w="15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ALCIVAR CRESPO MARIA DE LOURDES</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r>
      <w:tr w:rsidR="006A4D59" w:rsidRPr="0067008A">
        <w:trPr>
          <w:trHeight w:val="220"/>
        </w:trPr>
        <w:tc>
          <w:tcPr>
            <w:tcW w:w="15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ARTES GRAFICAS SENEFELDER C.A.</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000000" w:fill="F8696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0,84%</w:t>
            </w:r>
          </w:p>
        </w:tc>
        <w:tc>
          <w:tcPr>
            <w:tcW w:w="696" w:type="dxa"/>
            <w:tcBorders>
              <w:top w:val="single" w:sz="4" w:space="0" w:color="000000"/>
              <w:left w:val="single" w:sz="4" w:space="0" w:color="000000"/>
              <w:bottom w:val="single" w:sz="4" w:space="0" w:color="000000"/>
              <w:right w:val="single" w:sz="4" w:space="0" w:color="000000"/>
            </w:tcBorders>
            <w:shd w:val="clear" w:color="000000" w:fill="F86A6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0,98%</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5" w:type="dxa"/>
            <w:tcBorders>
              <w:top w:val="single" w:sz="4" w:space="0" w:color="000000"/>
              <w:left w:val="single" w:sz="4" w:space="0" w:color="000000"/>
              <w:bottom w:val="single" w:sz="4" w:space="0" w:color="000000"/>
              <w:right w:val="single" w:sz="4" w:space="0" w:color="000000"/>
            </w:tcBorders>
            <w:shd w:val="clear" w:color="000000" w:fill="F98470"/>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0,91%</w:t>
            </w:r>
          </w:p>
        </w:tc>
      </w:tr>
      <w:tr w:rsidR="006A4D59" w:rsidRPr="0067008A">
        <w:trPr>
          <w:trHeight w:val="220"/>
        </w:trPr>
        <w:tc>
          <w:tcPr>
            <w:tcW w:w="15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BANCO DE GUAYAQUIL S.A.</w:t>
            </w:r>
          </w:p>
        </w:tc>
        <w:tc>
          <w:tcPr>
            <w:tcW w:w="523" w:type="dxa"/>
            <w:tcBorders>
              <w:top w:val="single" w:sz="4" w:space="0" w:color="000000"/>
              <w:left w:val="single" w:sz="4" w:space="0" w:color="000000"/>
              <w:bottom w:val="single" w:sz="4" w:space="0" w:color="000000"/>
              <w:right w:val="single" w:sz="4" w:space="0" w:color="000000"/>
            </w:tcBorders>
            <w:shd w:val="clear" w:color="000000" w:fill="FEDA80"/>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2,02%</w:t>
            </w:r>
          </w:p>
        </w:tc>
        <w:tc>
          <w:tcPr>
            <w:tcW w:w="523" w:type="dxa"/>
            <w:tcBorders>
              <w:top w:val="single" w:sz="4" w:space="0" w:color="000000"/>
              <w:left w:val="single" w:sz="4" w:space="0" w:color="000000"/>
              <w:bottom w:val="single" w:sz="4" w:space="0" w:color="000000"/>
              <w:right w:val="single" w:sz="4" w:space="0" w:color="000000"/>
            </w:tcBorders>
            <w:shd w:val="clear" w:color="000000" w:fill="83C87D"/>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2,61%</w:t>
            </w:r>
          </w:p>
        </w:tc>
        <w:tc>
          <w:tcPr>
            <w:tcW w:w="524" w:type="dxa"/>
            <w:tcBorders>
              <w:top w:val="single" w:sz="4" w:space="0" w:color="000000"/>
              <w:left w:val="single" w:sz="4" w:space="0" w:color="000000"/>
              <w:bottom w:val="single" w:sz="4" w:space="0" w:color="000000"/>
              <w:right w:val="single" w:sz="4" w:space="0" w:color="000000"/>
            </w:tcBorders>
            <w:shd w:val="clear" w:color="000000" w:fill="C6DB81"/>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2,83%</w:t>
            </w:r>
          </w:p>
        </w:tc>
        <w:tc>
          <w:tcPr>
            <w:tcW w:w="599" w:type="dxa"/>
            <w:tcBorders>
              <w:top w:val="single" w:sz="4" w:space="0" w:color="000000"/>
              <w:left w:val="single" w:sz="4" w:space="0" w:color="000000"/>
              <w:bottom w:val="single" w:sz="4" w:space="0" w:color="000000"/>
              <w:right w:val="single" w:sz="4" w:space="0" w:color="000000"/>
            </w:tcBorders>
            <w:shd w:val="clear" w:color="000000" w:fill="FFEB84"/>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2,38%</w:t>
            </w:r>
          </w:p>
        </w:tc>
        <w:tc>
          <w:tcPr>
            <w:tcW w:w="523" w:type="dxa"/>
            <w:tcBorders>
              <w:top w:val="single" w:sz="4" w:space="0" w:color="000000"/>
              <w:left w:val="single" w:sz="4" w:space="0" w:color="000000"/>
              <w:bottom w:val="single" w:sz="4" w:space="0" w:color="000000"/>
              <w:right w:val="single" w:sz="4" w:space="0" w:color="000000"/>
            </w:tcBorders>
            <w:shd w:val="clear" w:color="000000" w:fill="63BE7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2,05%</w:t>
            </w:r>
          </w:p>
        </w:tc>
        <w:tc>
          <w:tcPr>
            <w:tcW w:w="599" w:type="dxa"/>
            <w:tcBorders>
              <w:top w:val="single" w:sz="4" w:space="0" w:color="000000"/>
              <w:left w:val="single" w:sz="4" w:space="0" w:color="000000"/>
              <w:bottom w:val="single" w:sz="4" w:space="0" w:color="000000"/>
              <w:right w:val="single" w:sz="4" w:space="0" w:color="000000"/>
            </w:tcBorders>
            <w:shd w:val="clear" w:color="000000" w:fill="F8696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2,96%</w:t>
            </w:r>
          </w:p>
        </w:tc>
        <w:tc>
          <w:tcPr>
            <w:tcW w:w="599" w:type="dxa"/>
            <w:tcBorders>
              <w:top w:val="single" w:sz="4" w:space="0" w:color="000000"/>
              <w:left w:val="single" w:sz="4" w:space="0" w:color="000000"/>
              <w:bottom w:val="single" w:sz="4" w:space="0" w:color="000000"/>
              <w:right w:val="single" w:sz="4" w:space="0" w:color="000000"/>
            </w:tcBorders>
            <w:shd w:val="clear" w:color="000000" w:fill="F8696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3,66%</w:t>
            </w:r>
          </w:p>
        </w:tc>
        <w:tc>
          <w:tcPr>
            <w:tcW w:w="696" w:type="dxa"/>
            <w:tcBorders>
              <w:top w:val="single" w:sz="4" w:space="0" w:color="000000"/>
              <w:left w:val="single" w:sz="4" w:space="0" w:color="000000"/>
              <w:bottom w:val="single" w:sz="4" w:space="0" w:color="000000"/>
              <w:right w:val="single" w:sz="4" w:space="0" w:color="000000"/>
            </w:tcBorders>
            <w:shd w:val="clear" w:color="000000" w:fill="F98670"/>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2,54%</w:t>
            </w:r>
          </w:p>
        </w:tc>
        <w:tc>
          <w:tcPr>
            <w:tcW w:w="696" w:type="dxa"/>
            <w:tcBorders>
              <w:top w:val="single" w:sz="4" w:space="0" w:color="000000"/>
              <w:left w:val="single" w:sz="4" w:space="0" w:color="000000"/>
              <w:bottom w:val="single" w:sz="4" w:space="0" w:color="000000"/>
              <w:right w:val="single" w:sz="4" w:space="0" w:color="000000"/>
            </w:tcBorders>
            <w:shd w:val="clear" w:color="000000" w:fill="F8796E"/>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2,26%</w:t>
            </w:r>
          </w:p>
        </w:tc>
        <w:tc>
          <w:tcPr>
            <w:tcW w:w="696" w:type="dxa"/>
            <w:tcBorders>
              <w:top w:val="single" w:sz="4" w:space="0" w:color="000000"/>
              <w:left w:val="single" w:sz="4" w:space="0" w:color="000000"/>
              <w:bottom w:val="single" w:sz="4" w:space="0" w:color="000000"/>
              <w:right w:val="single" w:sz="4" w:space="0" w:color="000000"/>
            </w:tcBorders>
            <w:shd w:val="clear" w:color="000000" w:fill="FA9473"/>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2,76%</w:t>
            </w:r>
          </w:p>
        </w:tc>
        <w:tc>
          <w:tcPr>
            <w:tcW w:w="696" w:type="dxa"/>
            <w:tcBorders>
              <w:top w:val="single" w:sz="4" w:space="0" w:color="000000"/>
              <w:left w:val="single" w:sz="4" w:space="0" w:color="000000"/>
              <w:bottom w:val="single" w:sz="4" w:space="0" w:color="000000"/>
              <w:right w:val="single" w:sz="4" w:space="0" w:color="000000"/>
            </w:tcBorders>
            <w:shd w:val="clear" w:color="000000" w:fill="FDC77D"/>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4,69%</w:t>
            </w:r>
          </w:p>
        </w:tc>
        <w:tc>
          <w:tcPr>
            <w:tcW w:w="599" w:type="dxa"/>
            <w:tcBorders>
              <w:top w:val="single" w:sz="4" w:space="0" w:color="000000"/>
              <w:left w:val="single" w:sz="4" w:space="0" w:color="000000"/>
              <w:bottom w:val="single" w:sz="4" w:space="0" w:color="000000"/>
              <w:right w:val="single" w:sz="4" w:space="0" w:color="000000"/>
            </w:tcBorders>
            <w:shd w:val="clear" w:color="000000" w:fill="F97C6E"/>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5,25%</w:t>
            </w:r>
          </w:p>
        </w:tc>
        <w:tc>
          <w:tcPr>
            <w:tcW w:w="695" w:type="dxa"/>
            <w:tcBorders>
              <w:top w:val="single" w:sz="4" w:space="0" w:color="000000"/>
              <w:left w:val="single" w:sz="4" w:space="0" w:color="000000"/>
              <w:bottom w:val="single" w:sz="4" w:space="0" w:color="000000"/>
              <w:right w:val="single" w:sz="4" w:space="0" w:color="000000"/>
            </w:tcBorders>
            <w:shd w:val="clear" w:color="000000" w:fill="FEDB81"/>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3,14%</w:t>
            </w:r>
          </w:p>
        </w:tc>
      </w:tr>
      <w:tr w:rsidR="006A4D59" w:rsidRPr="0067008A">
        <w:trPr>
          <w:trHeight w:val="220"/>
        </w:trPr>
        <w:tc>
          <w:tcPr>
            <w:tcW w:w="15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BANISI</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r>
      <w:tr w:rsidR="006A4D59" w:rsidRPr="0067008A">
        <w:trPr>
          <w:trHeight w:val="220"/>
        </w:trPr>
        <w:tc>
          <w:tcPr>
            <w:tcW w:w="15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BANISI HOLDING</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r>
      <w:tr w:rsidR="006A4D59" w:rsidRPr="0067008A">
        <w:trPr>
          <w:trHeight w:val="220"/>
        </w:trPr>
        <w:tc>
          <w:tcPr>
            <w:tcW w:w="15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BROTHER'S INVESTMENT LTD.</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000000" w:fill="63BE7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35,15%</w:t>
            </w:r>
          </w:p>
        </w:tc>
        <w:tc>
          <w:tcPr>
            <w:tcW w:w="696" w:type="dxa"/>
            <w:tcBorders>
              <w:top w:val="single" w:sz="4" w:space="0" w:color="000000"/>
              <w:left w:val="single" w:sz="4" w:space="0" w:color="000000"/>
              <w:bottom w:val="single" w:sz="4" w:space="0" w:color="000000"/>
              <w:right w:val="single" w:sz="4" w:space="0" w:color="000000"/>
            </w:tcBorders>
            <w:shd w:val="clear" w:color="000000" w:fill="63BE7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31,91%</w:t>
            </w:r>
          </w:p>
        </w:tc>
        <w:tc>
          <w:tcPr>
            <w:tcW w:w="696" w:type="dxa"/>
            <w:tcBorders>
              <w:top w:val="single" w:sz="4" w:space="0" w:color="000000"/>
              <w:left w:val="single" w:sz="4" w:space="0" w:color="000000"/>
              <w:bottom w:val="single" w:sz="4" w:space="0" w:color="000000"/>
              <w:right w:val="single" w:sz="4" w:space="0" w:color="000000"/>
            </w:tcBorders>
            <w:shd w:val="clear" w:color="000000" w:fill="63BE7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33,52%</w:t>
            </w:r>
          </w:p>
        </w:tc>
        <w:tc>
          <w:tcPr>
            <w:tcW w:w="696" w:type="dxa"/>
            <w:tcBorders>
              <w:top w:val="single" w:sz="4" w:space="0" w:color="000000"/>
              <w:left w:val="single" w:sz="4" w:space="0" w:color="000000"/>
              <w:bottom w:val="single" w:sz="4" w:space="0" w:color="000000"/>
              <w:right w:val="single" w:sz="4" w:space="0" w:color="000000"/>
            </w:tcBorders>
            <w:shd w:val="clear" w:color="000000" w:fill="63BE7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31,62%</w:t>
            </w: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5" w:type="dxa"/>
            <w:tcBorders>
              <w:top w:val="single" w:sz="4" w:space="0" w:color="000000"/>
              <w:left w:val="single" w:sz="4" w:space="0" w:color="000000"/>
              <w:bottom w:val="single" w:sz="4" w:space="0" w:color="000000"/>
              <w:right w:val="single" w:sz="4" w:space="0" w:color="000000"/>
            </w:tcBorders>
            <w:shd w:val="clear" w:color="000000" w:fill="63BE7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50,44%</w:t>
            </w:r>
          </w:p>
        </w:tc>
      </w:tr>
      <w:tr w:rsidR="006A4D59" w:rsidRPr="0067008A">
        <w:trPr>
          <w:trHeight w:val="220"/>
        </w:trPr>
        <w:tc>
          <w:tcPr>
            <w:tcW w:w="15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CARRERA DROUET DANILO EDUARDO</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000000" w:fill="C4DA81"/>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30,07%</w:t>
            </w:r>
          </w:p>
        </w:tc>
        <w:tc>
          <w:tcPr>
            <w:tcW w:w="696" w:type="dxa"/>
            <w:tcBorders>
              <w:top w:val="single" w:sz="4" w:space="0" w:color="000000"/>
              <w:left w:val="single" w:sz="4" w:space="0" w:color="000000"/>
              <w:bottom w:val="single" w:sz="4" w:space="0" w:color="000000"/>
              <w:right w:val="single" w:sz="4" w:space="0" w:color="000000"/>
            </w:tcBorders>
            <w:shd w:val="clear" w:color="000000" w:fill="D7E082"/>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24,95%</w:t>
            </w:r>
          </w:p>
        </w:tc>
        <w:tc>
          <w:tcPr>
            <w:tcW w:w="696" w:type="dxa"/>
            <w:tcBorders>
              <w:top w:val="single" w:sz="4" w:space="0" w:color="000000"/>
              <w:left w:val="single" w:sz="4" w:space="0" w:color="000000"/>
              <w:bottom w:val="single" w:sz="4" w:space="0" w:color="000000"/>
              <w:right w:val="single" w:sz="4" w:space="0" w:color="000000"/>
            </w:tcBorders>
            <w:shd w:val="clear" w:color="000000" w:fill="BAD780"/>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31,57%</w:t>
            </w:r>
          </w:p>
        </w:tc>
        <w:tc>
          <w:tcPr>
            <w:tcW w:w="696" w:type="dxa"/>
            <w:tcBorders>
              <w:top w:val="single" w:sz="4" w:space="0" w:color="000000"/>
              <w:left w:val="single" w:sz="4" w:space="0" w:color="000000"/>
              <w:bottom w:val="single" w:sz="4" w:space="0" w:color="000000"/>
              <w:right w:val="single" w:sz="4" w:space="0" w:color="000000"/>
            </w:tcBorders>
            <w:shd w:val="clear" w:color="000000" w:fill="B3D680"/>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33,30%</w:t>
            </w:r>
          </w:p>
        </w:tc>
        <w:tc>
          <w:tcPr>
            <w:tcW w:w="599" w:type="dxa"/>
            <w:tcBorders>
              <w:top w:val="single" w:sz="4" w:space="0" w:color="000000"/>
              <w:left w:val="single" w:sz="4" w:space="0" w:color="000000"/>
              <w:bottom w:val="single" w:sz="4" w:space="0" w:color="000000"/>
              <w:right w:val="single" w:sz="4" w:space="0" w:color="000000"/>
            </w:tcBorders>
            <w:shd w:val="clear" w:color="000000" w:fill="68C07C"/>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33,91%</w:t>
            </w:r>
          </w:p>
        </w:tc>
        <w:tc>
          <w:tcPr>
            <w:tcW w:w="695" w:type="dxa"/>
            <w:tcBorders>
              <w:top w:val="single" w:sz="4" w:space="0" w:color="000000"/>
              <w:left w:val="single" w:sz="4" w:space="0" w:color="000000"/>
              <w:bottom w:val="single" w:sz="4" w:space="0" w:color="000000"/>
              <w:right w:val="single" w:sz="4" w:space="0" w:color="000000"/>
            </w:tcBorders>
            <w:shd w:val="clear" w:color="000000" w:fill="9FD07F"/>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32,57%</w:t>
            </w:r>
          </w:p>
        </w:tc>
      </w:tr>
      <w:tr w:rsidR="006A4D59" w:rsidRPr="0067008A">
        <w:trPr>
          <w:trHeight w:val="220"/>
        </w:trPr>
        <w:tc>
          <w:tcPr>
            <w:tcW w:w="15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CARRERA LASSO ANA MARIA</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000000" w:fill="D6E082"/>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23,36%</w:t>
            </w:r>
          </w:p>
        </w:tc>
        <w:tc>
          <w:tcPr>
            <w:tcW w:w="696" w:type="dxa"/>
            <w:tcBorders>
              <w:top w:val="single" w:sz="4" w:space="0" w:color="000000"/>
              <w:left w:val="single" w:sz="4" w:space="0" w:color="000000"/>
              <w:bottom w:val="single" w:sz="4" w:space="0" w:color="000000"/>
              <w:right w:val="single" w:sz="4" w:space="0" w:color="000000"/>
            </w:tcBorders>
            <w:shd w:val="clear" w:color="000000" w:fill="FFEB84"/>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11,95%</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5" w:type="dxa"/>
            <w:tcBorders>
              <w:top w:val="single" w:sz="4" w:space="0" w:color="000000"/>
              <w:left w:val="single" w:sz="4" w:space="0" w:color="000000"/>
              <w:bottom w:val="single" w:sz="4" w:space="0" w:color="000000"/>
              <w:right w:val="single" w:sz="4" w:space="0" w:color="000000"/>
            </w:tcBorders>
            <w:shd w:val="clear" w:color="000000" w:fill="C8DB81"/>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20,28%</w:t>
            </w:r>
          </w:p>
        </w:tc>
      </w:tr>
      <w:tr w:rsidR="006A4D59" w:rsidRPr="0067008A">
        <w:trPr>
          <w:trHeight w:val="220"/>
        </w:trPr>
        <w:tc>
          <w:tcPr>
            <w:tcW w:w="15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CASA DE VALORES MULTIVALORES B.G. S.A.</w:t>
            </w:r>
          </w:p>
        </w:tc>
        <w:tc>
          <w:tcPr>
            <w:tcW w:w="523" w:type="dxa"/>
            <w:tcBorders>
              <w:top w:val="single" w:sz="4" w:space="0" w:color="000000"/>
              <w:left w:val="single" w:sz="4" w:space="0" w:color="000000"/>
              <w:bottom w:val="single" w:sz="4" w:space="0" w:color="000000"/>
              <w:right w:val="single" w:sz="4" w:space="0" w:color="000000"/>
            </w:tcBorders>
            <w:shd w:val="clear" w:color="000000" w:fill="F8E984"/>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2,31%</w:t>
            </w:r>
          </w:p>
        </w:tc>
        <w:tc>
          <w:tcPr>
            <w:tcW w:w="523" w:type="dxa"/>
            <w:tcBorders>
              <w:top w:val="single" w:sz="4" w:space="0" w:color="000000"/>
              <w:left w:val="single" w:sz="4" w:space="0" w:color="000000"/>
              <w:bottom w:val="single" w:sz="4" w:space="0" w:color="000000"/>
              <w:right w:val="single" w:sz="4" w:space="0" w:color="000000"/>
            </w:tcBorders>
            <w:shd w:val="clear" w:color="000000" w:fill="63BE7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2,78%</w:t>
            </w:r>
          </w:p>
        </w:tc>
        <w:tc>
          <w:tcPr>
            <w:tcW w:w="524" w:type="dxa"/>
            <w:tcBorders>
              <w:top w:val="single" w:sz="4" w:space="0" w:color="000000"/>
              <w:left w:val="single" w:sz="4" w:space="0" w:color="000000"/>
              <w:bottom w:val="single" w:sz="4" w:space="0" w:color="000000"/>
              <w:right w:val="single" w:sz="4" w:space="0" w:color="000000"/>
            </w:tcBorders>
            <w:shd w:val="clear" w:color="000000" w:fill="FFEB84"/>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2,54%</w:t>
            </w: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5" w:type="dxa"/>
            <w:tcBorders>
              <w:top w:val="single" w:sz="4" w:space="0" w:color="000000"/>
              <w:left w:val="single" w:sz="4" w:space="0" w:color="000000"/>
              <w:bottom w:val="single" w:sz="4" w:space="0" w:color="000000"/>
              <w:right w:val="single" w:sz="4" w:space="0" w:color="000000"/>
            </w:tcBorders>
            <w:shd w:val="clear" w:color="000000" w:fill="FCC37C"/>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2,52%</w:t>
            </w:r>
          </w:p>
        </w:tc>
      </w:tr>
      <w:tr w:rsidR="006A4D59" w:rsidRPr="0067008A">
        <w:trPr>
          <w:trHeight w:val="220"/>
        </w:trPr>
        <w:tc>
          <w:tcPr>
            <w:tcW w:w="15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COLARI S.A. AGENCIA ASESORA PRODUCTORA DE SEGUROS</w:t>
            </w:r>
          </w:p>
        </w:tc>
        <w:tc>
          <w:tcPr>
            <w:tcW w:w="523" w:type="dxa"/>
            <w:tcBorders>
              <w:top w:val="single" w:sz="4" w:space="0" w:color="000000"/>
              <w:left w:val="single" w:sz="4" w:space="0" w:color="000000"/>
              <w:bottom w:val="single" w:sz="4" w:space="0" w:color="000000"/>
              <w:right w:val="single" w:sz="4" w:space="0" w:color="000000"/>
            </w:tcBorders>
            <w:shd w:val="clear" w:color="000000" w:fill="EDE683"/>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2,39%</w:t>
            </w:r>
          </w:p>
        </w:tc>
        <w:tc>
          <w:tcPr>
            <w:tcW w:w="523" w:type="dxa"/>
            <w:tcBorders>
              <w:top w:val="single" w:sz="4" w:space="0" w:color="000000"/>
              <w:left w:val="single" w:sz="4" w:space="0" w:color="000000"/>
              <w:bottom w:val="single" w:sz="4" w:space="0" w:color="000000"/>
              <w:right w:val="single" w:sz="4" w:space="0" w:color="000000"/>
            </w:tcBorders>
            <w:shd w:val="clear" w:color="000000" w:fill="FFEB84"/>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1,92%</w:t>
            </w:r>
          </w:p>
        </w:tc>
        <w:tc>
          <w:tcPr>
            <w:tcW w:w="524" w:type="dxa"/>
            <w:tcBorders>
              <w:top w:val="single" w:sz="4" w:space="0" w:color="000000"/>
              <w:left w:val="single" w:sz="4" w:space="0" w:color="000000"/>
              <w:bottom w:val="single" w:sz="4" w:space="0" w:color="000000"/>
              <w:right w:val="single" w:sz="4" w:space="0" w:color="000000"/>
            </w:tcBorders>
            <w:shd w:val="clear" w:color="000000" w:fill="63BE7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3,33%</w:t>
            </w:r>
          </w:p>
        </w:tc>
        <w:tc>
          <w:tcPr>
            <w:tcW w:w="599" w:type="dxa"/>
            <w:tcBorders>
              <w:top w:val="single" w:sz="4" w:space="0" w:color="000000"/>
              <w:left w:val="single" w:sz="4" w:space="0" w:color="000000"/>
              <w:bottom w:val="single" w:sz="4" w:space="0" w:color="000000"/>
              <w:right w:val="single" w:sz="4" w:space="0" w:color="000000"/>
            </w:tcBorders>
            <w:shd w:val="clear" w:color="000000" w:fill="F8696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1,20%</w:t>
            </w:r>
          </w:p>
        </w:tc>
        <w:tc>
          <w:tcPr>
            <w:tcW w:w="523" w:type="dxa"/>
            <w:tcBorders>
              <w:top w:val="single" w:sz="4" w:space="0" w:color="000000"/>
              <w:left w:val="single" w:sz="4" w:space="0" w:color="000000"/>
              <w:bottom w:val="single" w:sz="4" w:space="0" w:color="000000"/>
              <w:right w:val="single" w:sz="4" w:space="0" w:color="000000"/>
            </w:tcBorders>
            <w:shd w:val="clear" w:color="000000" w:fill="F8696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0,29%</w:t>
            </w: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5" w:type="dxa"/>
            <w:tcBorders>
              <w:top w:val="single" w:sz="4" w:space="0" w:color="000000"/>
              <w:left w:val="single" w:sz="4" w:space="0" w:color="000000"/>
              <w:bottom w:val="single" w:sz="4" w:space="0" w:color="000000"/>
              <w:right w:val="single" w:sz="4" w:space="0" w:color="000000"/>
            </w:tcBorders>
            <w:shd w:val="clear" w:color="000000" w:fill="FBA776"/>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1,79%</w:t>
            </w:r>
          </w:p>
        </w:tc>
      </w:tr>
      <w:tr w:rsidR="006A4D59" w:rsidRPr="0067008A">
        <w:trPr>
          <w:trHeight w:val="220"/>
        </w:trPr>
        <w:tc>
          <w:tcPr>
            <w:tcW w:w="15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CORPORACION MULTIBG S.A.</w:t>
            </w:r>
          </w:p>
        </w:tc>
        <w:tc>
          <w:tcPr>
            <w:tcW w:w="523" w:type="dxa"/>
            <w:tcBorders>
              <w:top w:val="single" w:sz="4" w:space="0" w:color="000000"/>
              <w:left w:val="single" w:sz="4" w:space="0" w:color="000000"/>
              <w:bottom w:val="single" w:sz="4" w:space="0" w:color="000000"/>
              <w:right w:val="single" w:sz="4" w:space="0" w:color="000000"/>
            </w:tcBorders>
            <w:shd w:val="clear" w:color="000000" w:fill="63BE7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3,54%</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5" w:type="dxa"/>
            <w:tcBorders>
              <w:top w:val="single" w:sz="4" w:space="0" w:color="000000"/>
              <w:left w:val="single" w:sz="4" w:space="0" w:color="000000"/>
              <w:bottom w:val="single" w:sz="4" w:space="0" w:color="000000"/>
              <w:right w:val="single" w:sz="4" w:space="0" w:color="000000"/>
            </w:tcBorders>
            <w:shd w:val="clear" w:color="000000" w:fill="F8796E"/>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0,61%</w:t>
            </w:r>
          </w:p>
        </w:tc>
      </w:tr>
      <w:tr w:rsidR="006A4D59" w:rsidRPr="0067008A">
        <w:trPr>
          <w:trHeight w:val="220"/>
        </w:trPr>
        <w:tc>
          <w:tcPr>
            <w:tcW w:w="15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ACTIVOS DOS MIL CUATRO</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#¡DIV/0!</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#¡DIV/0!</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#¡DIV/0!</w:t>
            </w:r>
          </w:p>
        </w:tc>
        <w:tc>
          <w:tcPr>
            <w:tcW w:w="696" w:type="dxa"/>
            <w:tcBorders>
              <w:top w:val="single" w:sz="4" w:space="0" w:color="000000"/>
              <w:left w:val="single" w:sz="4" w:space="0" w:color="000000"/>
              <w:bottom w:val="single" w:sz="4" w:space="0" w:color="000000"/>
              <w:right w:val="single" w:sz="4" w:space="0" w:color="000000"/>
            </w:tcBorders>
            <w:shd w:val="clear" w:color="000000" w:fill="F8696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0,24%</w:t>
            </w: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5" w:type="dxa"/>
            <w:tcBorders>
              <w:top w:val="single" w:sz="4" w:space="0" w:color="000000"/>
              <w:left w:val="single" w:sz="4" w:space="0" w:color="000000"/>
              <w:bottom w:val="single" w:sz="4" w:space="0" w:color="000000"/>
              <w:right w:val="single" w:sz="4" w:space="0" w:color="000000"/>
            </w:tcBorders>
            <w:shd w:val="clear" w:color="000000" w:fill="FBB078"/>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2,05%</w:t>
            </w:r>
          </w:p>
        </w:tc>
      </w:tr>
      <w:tr w:rsidR="006A4D59" w:rsidRPr="0067008A">
        <w:trPr>
          <w:trHeight w:val="220"/>
        </w:trPr>
        <w:tc>
          <w:tcPr>
            <w:tcW w:w="15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ADMINISTRACION E INVERSION DE BIENES DE CAPITALES TRES</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000000" w:fill="F98D72"/>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2,96%</w:t>
            </w:r>
          </w:p>
        </w:tc>
        <w:tc>
          <w:tcPr>
            <w:tcW w:w="696" w:type="dxa"/>
            <w:tcBorders>
              <w:top w:val="single" w:sz="4" w:space="0" w:color="000000"/>
              <w:left w:val="single" w:sz="4" w:space="0" w:color="000000"/>
              <w:bottom w:val="single" w:sz="4" w:space="0" w:color="000000"/>
              <w:right w:val="single" w:sz="4" w:space="0" w:color="000000"/>
            </w:tcBorders>
            <w:shd w:val="clear" w:color="000000" w:fill="F86D6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1,18%</w:t>
            </w:r>
          </w:p>
        </w:tc>
        <w:tc>
          <w:tcPr>
            <w:tcW w:w="696" w:type="dxa"/>
            <w:tcBorders>
              <w:top w:val="single" w:sz="4" w:space="0" w:color="000000"/>
              <w:left w:val="single" w:sz="4" w:space="0" w:color="000000"/>
              <w:bottom w:val="single" w:sz="4" w:space="0" w:color="000000"/>
              <w:right w:val="single" w:sz="4" w:space="0" w:color="000000"/>
            </w:tcBorders>
            <w:shd w:val="clear" w:color="000000" w:fill="FEE983"/>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5,69%</w:t>
            </w:r>
          </w:p>
        </w:tc>
        <w:tc>
          <w:tcPr>
            <w:tcW w:w="696" w:type="dxa"/>
            <w:tcBorders>
              <w:top w:val="single" w:sz="4" w:space="0" w:color="000000"/>
              <w:left w:val="single" w:sz="4" w:space="0" w:color="000000"/>
              <w:bottom w:val="single" w:sz="4" w:space="0" w:color="000000"/>
              <w:right w:val="single" w:sz="4" w:space="0" w:color="000000"/>
            </w:tcBorders>
            <w:shd w:val="clear" w:color="000000" w:fill="FCBE7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4,24%</w:t>
            </w:r>
          </w:p>
        </w:tc>
        <w:tc>
          <w:tcPr>
            <w:tcW w:w="599" w:type="dxa"/>
            <w:tcBorders>
              <w:top w:val="single" w:sz="4" w:space="0" w:color="000000"/>
              <w:left w:val="single" w:sz="4" w:space="0" w:color="000000"/>
              <w:bottom w:val="single" w:sz="4" w:space="0" w:color="000000"/>
              <w:right w:val="single" w:sz="4" w:space="0" w:color="000000"/>
            </w:tcBorders>
            <w:shd w:val="clear" w:color="000000" w:fill="F8696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2,64%</w:t>
            </w:r>
          </w:p>
        </w:tc>
        <w:tc>
          <w:tcPr>
            <w:tcW w:w="695" w:type="dxa"/>
            <w:tcBorders>
              <w:top w:val="single" w:sz="4" w:space="0" w:color="000000"/>
              <w:left w:val="single" w:sz="4" w:space="0" w:color="000000"/>
              <w:bottom w:val="single" w:sz="4" w:space="0" w:color="000000"/>
              <w:right w:val="single" w:sz="4" w:space="0" w:color="000000"/>
            </w:tcBorders>
            <w:shd w:val="clear" w:color="000000" w:fill="FCBD7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2,38%</w:t>
            </w:r>
          </w:p>
        </w:tc>
      </w:tr>
      <w:tr w:rsidR="006A4D59" w:rsidRPr="0067008A">
        <w:trPr>
          <w:trHeight w:val="220"/>
        </w:trPr>
        <w:tc>
          <w:tcPr>
            <w:tcW w:w="15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DE ADMINISTRACION DE INMUEBLE BARANDUA III</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#¡DIV/0!</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#¡DIV/0!</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#¡DIV/0!</w:t>
            </w:r>
          </w:p>
        </w:tc>
        <w:tc>
          <w:tcPr>
            <w:tcW w:w="696" w:type="dxa"/>
            <w:tcBorders>
              <w:top w:val="single" w:sz="4" w:space="0" w:color="000000"/>
              <w:left w:val="single" w:sz="4" w:space="0" w:color="000000"/>
              <w:bottom w:val="single" w:sz="4" w:space="0" w:color="000000"/>
              <w:right w:val="single" w:sz="4" w:space="0" w:color="000000"/>
            </w:tcBorders>
            <w:shd w:val="clear" w:color="000000" w:fill="FDCF7E"/>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5,05%</w:t>
            </w: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5" w:type="dxa"/>
            <w:tcBorders>
              <w:top w:val="single" w:sz="4" w:space="0" w:color="000000"/>
              <w:left w:val="single" w:sz="4" w:space="0" w:color="000000"/>
              <w:bottom w:val="single" w:sz="4" w:space="0" w:color="000000"/>
              <w:right w:val="single" w:sz="4" w:space="0" w:color="000000"/>
            </w:tcBorders>
            <w:shd w:val="clear" w:color="000000" w:fill="F8E984"/>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5,93%</w:t>
            </w:r>
          </w:p>
        </w:tc>
      </w:tr>
      <w:tr w:rsidR="006A4D59" w:rsidRPr="0067008A">
        <w:trPr>
          <w:trHeight w:val="220"/>
        </w:trPr>
        <w:tc>
          <w:tcPr>
            <w:tcW w:w="15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DE ADMINISTRACION DE INMUEBLE OASIS</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#¡DIV/0!</w:t>
            </w:r>
          </w:p>
        </w:tc>
        <w:tc>
          <w:tcPr>
            <w:tcW w:w="696" w:type="dxa"/>
            <w:tcBorders>
              <w:top w:val="single" w:sz="4" w:space="0" w:color="000000"/>
              <w:left w:val="single" w:sz="4" w:space="0" w:color="000000"/>
              <w:bottom w:val="single" w:sz="4" w:space="0" w:color="000000"/>
              <w:right w:val="single" w:sz="4" w:space="0" w:color="000000"/>
            </w:tcBorders>
            <w:shd w:val="clear" w:color="000000" w:fill="F8696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0,81%</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#¡DIV/0!</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5" w:type="dxa"/>
            <w:tcBorders>
              <w:top w:val="single" w:sz="4" w:space="0" w:color="000000"/>
              <w:left w:val="single" w:sz="4" w:space="0" w:color="000000"/>
              <w:bottom w:val="single" w:sz="4" w:space="0" w:color="000000"/>
              <w:right w:val="single" w:sz="4" w:space="0" w:color="000000"/>
            </w:tcBorders>
            <w:shd w:val="clear" w:color="000000" w:fill="FDC67D"/>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2,61%</w:t>
            </w:r>
          </w:p>
        </w:tc>
      </w:tr>
      <w:tr w:rsidR="006A4D59" w:rsidRPr="0067008A">
        <w:trPr>
          <w:trHeight w:val="220"/>
        </w:trPr>
        <w:tc>
          <w:tcPr>
            <w:tcW w:w="15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INMOBILIARIO BG DOS MIL CUATRO</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000000" w:fill="FBB078"/>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3,60%</w:t>
            </w: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5" w:type="dxa"/>
            <w:tcBorders>
              <w:top w:val="single" w:sz="4" w:space="0" w:color="000000"/>
              <w:left w:val="single" w:sz="4" w:space="0" w:color="000000"/>
              <w:bottom w:val="single" w:sz="4" w:space="0" w:color="000000"/>
              <w:right w:val="single" w:sz="4" w:space="0" w:color="000000"/>
            </w:tcBorders>
            <w:shd w:val="clear" w:color="000000" w:fill="FEEA83"/>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3,54%</w:t>
            </w:r>
          </w:p>
        </w:tc>
      </w:tr>
      <w:tr w:rsidR="006A4D59" w:rsidRPr="0067008A">
        <w:trPr>
          <w:trHeight w:val="220"/>
        </w:trPr>
        <w:tc>
          <w:tcPr>
            <w:tcW w:w="15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INMOBILIARIO BG DOS MIL NUEVE</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000000" w:fill="FBAF78"/>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4,91%</w:t>
            </w:r>
          </w:p>
        </w:tc>
        <w:tc>
          <w:tcPr>
            <w:tcW w:w="696" w:type="dxa"/>
            <w:tcBorders>
              <w:top w:val="single" w:sz="4" w:space="0" w:color="000000"/>
              <w:left w:val="single" w:sz="4" w:space="0" w:color="000000"/>
              <w:bottom w:val="single" w:sz="4" w:space="0" w:color="000000"/>
              <w:right w:val="single" w:sz="4" w:space="0" w:color="000000"/>
            </w:tcBorders>
            <w:shd w:val="clear" w:color="000000" w:fill="D4DF82"/>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25,91%</w:t>
            </w:r>
          </w:p>
        </w:tc>
        <w:tc>
          <w:tcPr>
            <w:tcW w:w="696" w:type="dxa"/>
            <w:tcBorders>
              <w:top w:val="single" w:sz="4" w:space="0" w:color="000000"/>
              <w:left w:val="single" w:sz="4" w:space="0" w:color="000000"/>
              <w:bottom w:val="single" w:sz="4" w:space="0" w:color="000000"/>
              <w:right w:val="single" w:sz="4" w:space="0" w:color="000000"/>
            </w:tcBorders>
            <w:shd w:val="clear" w:color="000000" w:fill="F8696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1,25%</w:t>
            </w:r>
          </w:p>
        </w:tc>
        <w:tc>
          <w:tcPr>
            <w:tcW w:w="696" w:type="dxa"/>
            <w:tcBorders>
              <w:top w:val="single" w:sz="4" w:space="0" w:color="000000"/>
              <w:left w:val="single" w:sz="4" w:space="0" w:color="000000"/>
              <w:bottom w:val="single" w:sz="4" w:space="0" w:color="000000"/>
              <w:right w:val="single" w:sz="4" w:space="0" w:color="000000"/>
            </w:tcBorders>
            <w:shd w:val="clear" w:color="000000" w:fill="FCEA84"/>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7,63%</w:t>
            </w: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5" w:type="dxa"/>
            <w:tcBorders>
              <w:top w:val="single" w:sz="4" w:space="0" w:color="000000"/>
              <w:left w:val="single" w:sz="4" w:space="0" w:color="000000"/>
              <w:bottom w:val="single" w:sz="4" w:space="0" w:color="000000"/>
              <w:right w:val="single" w:sz="4" w:space="0" w:color="000000"/>
            </w:tcBorders>
            <w:shd w:val="clear" w:color="000000" w:fill="FDEB84"/>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4,37%</w:t>
            </w:r>
          </w:p>
        </w:tc>
      </w:tr>
      <w:tr w:rsidR="006A4D59" w:rsidRPr="0067008A">
        <w:trPr>
          <w:trHeight w:val="220"/>
        </w:trPr>
        <w:tc>
          <w:tcPr>
            <w:tcW w:w="15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MULTIPREDIOS UNO</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000000" w:fill="FFEB84"/>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8,39%</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#¡DIV/0!</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#¡DIV/0!</w:t>
            </w:r>
          </w:p>
        </w:tc>
        <w:tc>
          <w:tcPr>
            <w:tcW w:w="696" w:type="dxa"/>
            <w:tcBorders>
              <w:top w:val="single" w:sz="4" w:space="0" w:color="000000"/>
              <w:left w:val="single" w:sz="4" w:space="0" w:color="000000"/>
              <w:bottom w:val="single" w:sz="4" w:space="0" w:color="000000"/>
              <w:right w:val="single" w:sz="4" w:space="0" w:color="000000"/>
            </w:tcBorders>
            <w:shd w:val="clear" w:color="000000" w:fill="F87A6E"/>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1,07%</w:t>
            </w:r>
          </w:p>
        </w:tc>
        <w:tc>
          <w:tcPr>
            <w:tcW w:w="599" w:type="dxa"/>
            <w:tcBorders>
              <w:top w:val="single" w:sz="4" w:space="0" w:color="000000"/>
              <w:left w:val="single" w:sz="4" w:space="0" w:color="000000"/>
              <w:bottom w:val="single" w:sz="4" w:space="0" w:color="000000"/>
              <w:right w:val="single" w:sz="4" w:space="0" w:color="000000"/>
            </w:tcBorders>
            <w:shd w:val="clear" w:color="000000" w:fill="F8696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2,61%</w:t>
            </w:r>
          </w:p>
        </w:tc>
        <w:tc>
          <w:tcPr>
            <w:tcW w:w="695" w:type="dxa"/>
            <w:tcBorders>
              <w:top w:val="single" w:sz="4" w:space="0" w:color="000000"/>
              <w:left w:val="single" w:sz="4" w:space="0" w:color="000000"/>
              <w:bottom w:val="single" w:sz="4" w:space="0" w:color="000000"/>
              <w:right w:val="single" w:sz="4" w:space="0" w:color="000000"/>
            </w:tcBorders>
            <w:shd w:val="clear" w:color="000000" w:fill="FFEB84"/>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3,54%</w:t>
            </w:r>
          </w:p>
        </w:tc>
      </w:tr>
      <w:tr w:rsidR="006A4D59" w:rsidRPr="0067008A">
        <w:trPr>
          <w:trHeight w:val="220"/>
        </w:trPr>
        <w:tc>
          <w:tcPr>
            <w:tcW w:w="15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SENEFELDER DOS</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r>
      <w:tr w:rsidR="006A4D59" w:rsidRPr="0067008A">
        <w:trPr>
          <w:trHeight w:val="220"/>
        </w:trPr>
        <w:tc>
          <w:tcPr>
            <w:tcW w:w="15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GRUPO CORPORATIVO YOU YOUCORP S.A.</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000000" w:fill="F86B6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1,00%</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5" w:type="dxa"/>
            <w:tcBorders>
              <w:top w:val="single" w:sz="4" w:space="0" w:color="000000"/>
              <w:left w:val="single" w:sz="4" w:space="0" w:color="000000"/>
              <w:bottom w:val="single" w:sz="4" w:space="0" w:color="000000"/>
              <w:right w:val="single" w:sz="4" w:space="0" w:color="000000"/>
            </w:tcBorders>
            <w:shd w:val="clear" w:color="000000" w:fill="F8696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0,20%</w:t>
            </w:r>
          </w:p>
        </w:tc>
      </w:tr>
      <w:tr w:rsidR="006A4D59" w:rsidRPr="0067008A">
        <w:trPr>
          <w:trHeight w:val="220"/>
        </w:trPr>
        <w:tc>
          <w:tcPr>
            <w:tcW w:w="15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HOLDING ANMACALGRUP S.A.</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000000" w:fill="EBE683"/>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15,81%</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5" w:type="dxa"/>
            <w:tcBorders>
              <w:top w:val="single" w:sz="4" w:space="0" w:color="000000"/>
              <w:left w:val="single" w:sz="4" w:space="0" w:color="000000"/>
              <w:bottom w:val="single" w:sz="4" w:space="0" w:color="000000"/>
              <w:right w:val="single" w:sz="4" w:space="0" w:color="000000"/>
            </w:tcBorders>
            <w:shd w:val="clear" w:color="000000" w:fill="D7E082"/>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15,81%</w:t>
            </w:r>
          </w:p>
        </w:tc>
      </w:tr>
      <w:tr w:rsidR="006A4D59" w:rsidRPr="0067008A">
        <w:trPr>
          <w:trHeight w:val="220"/>
        </w:trPr>
        <w:tc>
          <w:tcPr>
            <w:tcW w:w="15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LASALFILMS S.A.</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#¡DIV/0!</w:t>
            </w: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#¡DIV/0!</w:t>
            </w:r>
          </w:p>
        </w:tc>
      </w:tr>
      <w:tr w:rsidR="006A4D59" w:rsidRPr="0067008A">
        <w:trPr>
          <w:trHeight w:val="220"/>
        </w:trPr>
        <w:tc>
          <w:tcPr>
            <w:tcW w:w="15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LASSO ALCIVAR GUILLERMO ENRIQUE</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000000" w:fill="E1E383"/>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23,14%</w:t>
            </w:r>
          </w:p>
        </w:tc>
        <w:tc>
          <w:tcPr>
            <w:tcW w:w="695" w:type="dxa"/>
            <w:tcBorders>
              <w:top w:val="single" w:sz="4" w:space="0" w:color="000000"/>
              <w:left w:val="single" w:sz="4" w:space="0" w:color="000000"/>
              <w:bottom w:val="single" w:sz="4" w:space="0" w:color="000000"/>
              <w:right w:val="single" w:sz="4" w:space="0" w:color="000000"/>
            </w:tcBorders>
            <w:shd w:val="clear" w:color="000000" w:fill="BED981"/>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23,14%</w:t>
            </w:r>
          </w:p>
        </w:tc>
      </w:tr>
      <w:tr w:rsidR="006A4D59" w:rsidRPr="0067008A">
        <w:trPr>
          <w:trHeight w:val="220"/>
        </w:trPr>
        <w:tc>
          <w:tcPr>
            <w:tcW w:w="15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LASSO ALCIVAR MARIA DE LOURDES</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000000" w:fill="FFEB84"/>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5,73%</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5" w:type="dxa"/>
            <w:tcBorders>
              <w:top w:val="single" w:sz="4" w:space="0" w:color="000000"/>
              <w:left w:val="single" w:sz="4" w:space="0" w:color="000000"/>
              <w:bottom w:val="single" w:sz="4" w:space="0" w:color="000000"/>
              <w:right w:val="single" w:sz="4" w:space="0" w:color="000000"/>
            </w:tcBorders>
            <w:shd w:val="clear" w:color="000000" w:fill="F8E984"/>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5,73%</w:t>
            </w:r>
          </w:p>
        </w:tc>
      </w:tr>
      <w:tr w:rsidR="006A4D59" w:rsidRPr="0067008A">
        <w:trPr>
          <w:trHeight w:val="220"/>
        </w:trPr>
        <w:tc>
          <w:tcPr>
            <w:tcW w:w="15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LASSO MENDOZA CARLOS JORGE</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000000" w:fill="BED981"/>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32,10%</w:t>
            </w:r>
          </w:p>
        </w:tc>
        <w:tc>
          <w:tcPr>
            <w:tcW w:w="696" w:type="dxa"/>
            <w:tcBorders>
              <w:top w:val="single" w:sz="4" w:space="0" w:color="000000"/>
              <w:left w:val="single" w:sz="4" w:space="0" w:color="000000"/>
              <w:bottom w:val="single" w:sz="4" w:space="0" w:color="000000"/>
              <w:right w:val="single" w:sz="4" w:space="0" w:color="000000"/>
            </w:tcBorders>
            <w:shd w:val="clear" w:color="000000" w:fill="C8DC81"/>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29,71%</w:t>
            </w:r>
          </w:p>
        </w:tc>
        <w:tc>
          <w:tcPr>
            <w:tcW w:w="696" w:type="dxa"/>
            <w:tcBorders>
              <w:top w:val="single" w:sz="4" w:space="0" w:color="000000"/>
              <w:left w:val="single" w:sz="4" w:space="0" w:color="000000"/>
              <w:bottom w:val="single" w:sz="4" w:space="0" w:color="000000"/>
              <w:right w:val="single" w:sz="4" w:space="0" w:color="000000"/>
            </w:tcBorders>
            <w:shd w:val="clear" w:color="000000" w:fill="B6D680"/>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32,96%</w:t>
            </w:r>
          </w:p>
        </w:tc>
        <w:tc>
          <w:tcPr>
            <w:tcW w:w="696" w:type="dxa"/>
            <w:tcBorders>
              <w:top w:val="single" w:sz="4" w:space="0" w:color="000000"/>
              <w:left w:val="single" w:sz="4" w:space="0" w:color="000000"/>
              <w:bottom w:val="single" w:sz="4" w:space="0" w:color="000000"/>
              <w:right w:val="single" w:sz="4" w:space="0" w:color="000000"/>
            </w:tcBorders>
            <w:shd w:val="clear" w:color="000000" w:fill="B2D580"/>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33,94%</w:t>
            </w:r>
          </w:p>
        </w:tc>
        <w:tc>
          <w:tcPr>
            <w:tcW w:w="599" w:type="dxa"/>
            <w:tcBorders>
              <w:top w:val="single" w:sz="4" w:space="0" w:color="000000"/>
              <w:left w:val="single" w:sz="4" w:space="0" w:color="000000"/>
              <w:bottom w:val="single" w:sz="4" w:space="0" w:color="000000"/>
              <w:right w:val="single" w:sz="4" w:space="0" w:color="000000"/>
            </w:tcBorders>
            <w:shd w:val="clear" w:color="000000" w:fill="6BC17C"/>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33,68%</w:t>
            </w:r>
          </w:p>
        </w:tc>
        <w:tc>
          <w:tcPr>
            <w:tcW w:w="695" w:type="dxa"/>
            <w:tcBorders>
              <w:top w:val="single" w:sz="4" w:space="0" w:color="000000"/>
              <w:left w:val="single" w:sz="4" w:space="0" w:color="000000"/>
              <w:bottom w:val="single" w:sz="4" w:space="0" w:color="000000"/>
              <w:right w:val="single" w:sz="4" w:space="0" w:color="000000"/>
            </w:tcBorders>
            <w:shd w:val="clear" w:color="000000" w:fill="9DCF7F"/>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33,17%</w:t>
            </w:r>
          </w:p>
        </w:tc>
      </w:tr>
      <w:tr w:rsidR="006A4D59" w:rsidRPr="0067008A">
        <w:trPr>
          <w:trHeight w:val="220"/>
        </w:trPr>
        <w:tc>
          <w:tcPr>
            <w:tcW w:w="15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LASSO MENDOZA GUILLERMO ALBERTO SANTIAGO</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000000" w:fill="63BE7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34,81%</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000000" w:fill="63BE7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34,73%</w:t>
            </w:r>
          </w:p>
        </w:tc>
        <w:tc>
          <w:tcPr>
            <w:tcW w:w="599" w:type="dxa"/>
            <w:tcBorders>
              <w:top w:val="single" w:sz="4" w:space="0" w:color="000000"/>
              <w:left w:val="single" w:sz="4" w:space="0" w:color="000000"/>
              <w:bottom w:val="single" w:sz="4" w:space="0" w:color="000000"/>
              <w:right w:val="single" w:sz="4" w:space="0" w:color="000000"/>
            </w:tcBorders>
            <w:shd w:val="clear" w:color="000000" w:fill="63BE7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34,89%</w:t>
            </w:r>
          </w:p>
        </w:tc>
        <w:tc>
          <w:tcPr>
            <w:tcW w:w="696" w:type="dxa"/>
            <w:tcBorders>
              <w:top w:val="single" w:sz="4" w:space="0" w:color="000000"/>
              <w:left w:val="single" w:sz="4" w:space="0" w:color="000000"/>
              <w:bottom w:val="single" w:sz="4" w:space="0" w:color="000000"/>
              <w:right w:val="single" w:sz="4" w:space="0" w:color="000000"/>
            </w:tcBorders>
            <w:shd w:val="clear" w:color="000000" w:fill="B8D780"/>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34,40%</w:t>
            </w:r>
          </w:p>
        </w:tc>
        <w:tc>
          <w:tcPr>
            <w:tcW w:w="696" w:type="dxa"/>
            <w:tcBorders>
              <w:top w:val="single" w:sz="4" w:space="0" w:color="000000"/>
              <w:left w:val="single" w:sz="4" w:space="0" w:color="000000"/>
              <w:bottom w:val="single" w:sz="4" w:space="0" w:color="000000"/>
              <w:right w:val="single" w:sz="4" w:space="0" w:color="000000"/>
            </w:tcBorders>
            <w:shd w:val="clear" w:color="000000" w:fill="BBD881"/>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33,96%</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000000" w:fill="B1D580"/>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34,24%</w:t>
            </w:r>
          </w:p>
        </w:tc>
        <w:tc>
          <w:tcPr>
            <w:tcW w:w="599" w:type="dxa"/>
            <w:tcBorders>
              <w:top w:val="single" w:sz="4" w:space="0" w:color="000000"/>
              <w:left w:val="single" w:sz="4" w:space="0" w:color="000000"/>
              <w:bottom w:val="single" w:sz="4" w:space="0" w:color="000000"/>
              <w:right w:val="single" w:sz="4" w:space="0" w:color="000000"/>
            </w:tcBorders>
            <w:shd w:val="clear" w:color="000000" w:fill="66BF7C"/>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34,13%</w:t>
            </w:r>
          </w:p>
        </w:tc>
        <w:tc>
          <w:tcPr>
            <w:tcW w:w="695" w:type="dxa"/>
            <w:tcBorders>
              <w:top w:val="single" w:sz="4" w:space="0" w:color="000000"/>
              <w:left w:val="single" w:sz="4" w:space="0" w:color="000000"/>
              <w:bottom w:val="single" w:sz="4" w:space="0" w:color="000000"/>
              <w:right w:val="single" w:sz="4" w:space="0" w:color="000000"/>
            </w:tcBorders>
            <w:shd w:val="clear" w:color="000000" w:fill="98CE7F"/>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34,69%</w:t>
            </w:r>
          </w:p>
        </w:tc>
      </w:tr>
      <w:tr w:rsidR="006A4D59" w:rsidRPr="0067008A">
        <w:trPr>
          <w:trHeight w:val="220"/>
        </w:trPr>
        <w:tc>
          <w:tcPr>
            <w:tcW w:w="15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LASSO MENDOZA MARIA EUGENIA</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000000" w:fill="BBD881"/>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33,33%</w:t>
            </w:r>
          </w:p>
        </w:tc>
        <w:tc>
          <w:tcPr>
            <w:tcW w:w="696" w:type="dxa"/>
            <w:tcBorders>
              <w:top w:val="single" w:sz="4" w:space="0" w:color="000000"/>
              <w:left w:val="single" w:sz="4" w:space="0" w:color="000000"/>
              <w:bottom w:val="single" w:sz="4" w:space="0" w:color="000000"/>
              <w:right w:val="single" w:sz="4" w:space="0" w:color="000000"/>
            </w:tcBorders>
            <w:shd w:val="clear" w:color="000000" w:fill="C2DA81"/>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31,57%</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000000" w:fill="B2D580"/>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33,95%</w:t>
            </w:r>
          </w:p>
        </w:tc>
        <w:tc>
          <w:tcPr>
            <w:tcW w:w="599" w:type="dxa"/>
            <w:tcBorders>
              <w:top w:val="single" w:sz="4" w:space="0" w:color="000000"/>
              <w:left w:val="single" w:sz="4" w:space="0" w:color="000000"/>
              <w:bottom w:val="single" w:sz="4" w:space="0" w:color="000000"/>
              <w:right w:val="single" w:sz="4" w:space="0" w:color="000000"/>
            </w:tcBorders>
            <w:shd w:val="clear" w:color="000000" w:fill="63BE7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34,32%</w:t>
            </w:r>
          </w:p>
        </w:tc>
        <w:tc>
          <w:tcPr>
            <w:tcW w:w="695" w:type="dxa"/>
            <w:tcBorders>
              <w:top w:val="single" w:sz="4" w:space="0" w:color="000000"/>
              <w:left w:val="single" w:sz="4" w:space="0" w:color="000000"/>
              <w:bottom w:val="single" w:sz="4" w:space="0" w:color="000000"/>
              <w:right w:val="single" w:sz="4" w:space="0" w:color="000000"/>
            </w:tcBorders>
            <w:shd w:val="clear" w:color="000000" w:fill="9BCF7F"/>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33,76%</w:t>
            </w:r>
          </w:p>
        </w:tc>
      </w:tr>
      <w:tr w:rsidR="006A4D59" w:rsidRPr="0067008A">
        <w:trPr>
          <w:trHeight w:val="220"/>
        </w:trPr>
        <w:tc>
          <w:tcPr>
            <w:tcW w:w="15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LIVERCOSTAS S.A.</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000000" w:fill="F87A6E"/>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1,84%</w:t>
            </w:r>
          </w:p>
        </w:tc>
        <w:tc>
          <w:tcPr>
            <w:tcW w:w="696" w:type="dxa"/>
            <w:tcBorders>
              <w:top w:val="single" w:sz="4" w:space="0" w:color="000000"/>
              <w:left w:val="single" w:sz="4" w:space="0" w:color="000000"/>
              <w:bottom w:val="single" w:sz="4" w:space="0" w:color="000000"/>
              <w:right w:val="single" w:sz="4" w:space="0" w:color="000000"/>
            </w:tcBorders>
            <w:shd w:val="clear" w:color="000000" w:fill="F8706C"/>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1,41%</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5" w:type="dxa"/>
            <w:tcBorders>
              <w:top w:val="single" w:sz="4" w:space="0" w:color="000000"/>
              <w:left w:val="single" w:sz="4" w:space="0" w:color="000000"/>
              <w:bottom w:val="single" w:sz="4" w:space="0" w:color="000000"/>
              <w:right w:val="single" w:sz="4" w:space="0" w:color="000000"/>
            </w:tcBorders>
            <w:shd w:val="clear" w:color="000000" w:fill="FAA075"/>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1,62%</w:t>
            </w:r>
          </w:p>
        </w:tc>
      </w:tr>
      <w:tr w:rsidR="006A4D59" w:rsidRPr="0067008A">
        <w:trPr>
          <w:trHeight w:val="220"/>
        </w:trPr>
        <w:tc>
          <w:tcPr>
            <w:tcW w:w="15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MUÑOZ SALGADO MERCEDES LEONOR</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000000" w:fill="FDCF7E"/>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6,79%</w:t>
            </w:r>
          </w:p>
        </w:tc>
        <w:tc>
          <w:tcPr>
            <w:tcW w:w="696" w:type="dxa"/>
            <w:tcBorders>
              <w:top w:val="single" w:sz="4" w:space="0" w:color="000000"/>
              <w:left w:val="single" w:sz="4" w:space="0" w:color="000000"/>
              <w:bottom w:val="single" w:sz="4" w:space="0" w:color="000000"/>
              <w:right w:val="single" w:sz="4" w:space="0" w:color="000000"/>
            </w:tcBorders>
            <w:shd w:val="clear" w:color="000000" w:fill="FFEB84"/>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12,01%</w:t>
            </w:r>
          </w:p>
        </w:tc>
        <w:tc>
          <w:tcPr>
            <w:tcW w:w="696" w:type="dxa"/>
            <w:tcBorders>
              <w:top w:val="single" w:sz="4" w:space="0" w:color="000000"/>
              <w:left w:val="single" w:sz="4" w:space="0" w:color="000000"/>
              <w:bottom w:val="single" w:sz="4" w:space="0" w:color="000000"/>
              <w:right w:val="single" w:sz="4" w:space="0" w:color="000000"/>
            </w:tcBorders>
            <w:shd w:val="clear" w:color="000000" w:fill="EDE683"/>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12,41%</w:t>
            </w:r>
          </w:p>
        </w:tc>
        <w:tc>
          <w:tcPr>
            <w:tcW w:w="696" w:type="dxa"/>
            <w:tcBorders>
              <w:top w:val="single" w:sz="4" w:space="0" w:color="000000"/>
              <w:left w:val="single" w:sz="4" w:space="0" w:color="000000"/>
              <w:bottom w:val="single" w:sz="4" w:space="0" w:color="000000"/>
              <w:right w:val="single" w:sz="4" w:space="0" w:color="000000"/>
            </w:tcBorders>
            <w:shd w:val="clear" w:color="000000" w:fill="EDE683"/>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12,84%</w:t>
            </w:r>
          </w:p>
        </w:tc>
        <w:tc>
          <w:tcPr>
            <w:tcW w:w="599" w:type="dxa"/>
            <w:tcBorders>
              <w:top w:val="single" w:sz="4" w:space="0" w:color="000000"/>
              <w:left w:val="single" w:sz="4" w:space="0" w:color="000000"/>
              <w:bottom w:val="single" w:sz="4" w:space="0" w:color="000000"/>
              <w:right w:val="single" w:sz="4" w:space="0" w:color="000000"/>
            </w:tcBorders>
            <w:shd w:val="clear" w:color="000000" w:fill="FDD680"/>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17,65%</w:t>
            </w:r>
          </w:p>
        </w:tc>
        <w:tc>
          <w:tcPr>
            <w:tcW w:w="695" w:type="dxa"/>
            <w:tcBorders>
              <w:top w:val="single" w:sz="4" w:space="0" w:color="000000"/>
              <w:left w:val="single" w:sz="4" w:space="0" w:color="000000"/>
              <w:bottom w:val="single" w:sz="4" w:space="0" w:color="000000"/>
              <w:right w:val="single" w:sz="4" w:space="0" w:color="000000"/>
            </w:tcBorders>
            <w:shd w:val="clear" w:color="000000" w:fill="E0E283"/>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12,97%</w:t>
            </w:r>
          </w:p>
        </w:tc>
      </w:tr>
      <w:tr w:rsidR="006A4D59" w:rsidRPr="0067008A">
        <w:trPr>
          <w:trHeight w:val="220"/>
        </w:trPr>
        <w:tc>
          <w:tcPr>
            <w:tcW w:w="15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PROMOQUIL S.A.</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r>
      <w:tr w:rsidR="006A4D59" w:rsidRPr="0067008A">
        <w:trPr>
          <w:trHeight w:val="220"/>
        </w:trPr>
        <w:tc>
          <w:tcPr>
            <w:tcW w:w="15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RIO GUAYAS COMPAÑIA DE SEGUROS Y REASEGUROS S.A.</w:t>
            </w:r>
          </w:p>
        </w:tc>
        <w:tc>
          <w:tcPr>
            <w:tcW w:w="523" w:type="dxa"/>
            <w:tcBorders>
              <w:top w:val="single" w:sz="4" w:space="0" w:color="000000"/>
              <w:left w:val="single" w:sz="4" w:space="0" w:color="000000"/>
              <w:bottom w:val="single" w:sz="4" w:space="0" w:color="000000"/>
              <w:right w:val="single" w:sz="4" w:space="0" w:color="000000"/>
            </w:tcBorders>
            <w:shd w:val="clear" w:color="000000" w:fill="F8696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0,47%</w:t>
            </w:r>
          </w:p>
        </w:tc>
        <w:tc>
          <w:tcPr>
            <w:tcW w:w="523" w:type="dxa"/>
            <w:tcBorders>
              <w:top w:val="single" w:sz="4" w:space="0" w:color="000000"/>
              <w:left w:val="single" w:sz="4" w:space="0" w:color="000000"/>
              <w:bottom w:val="single" w:sz="4" w:space="0" w:color="000000"/>
              <w:right w:val="single" w:sz="4" w:space="0" w:color="000000"/>
            </w:tcBorders>
            <w:shd w:val="clear" w:color="000000" w:fill="F8696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0,53%</w:t>
            </w:r>
          </w:p>
        </w:tc>
        <w:tc>
          <w:tcPr>
            <w:tcW w:w="524" w:type="dxa"/>
            <w:tcBorders>
              <w:top w:val="single" w:sz="4" w:space="0" w:color="000000"/>
              <w:left w:val="single" w:sz="4" w:space="0" w:color="000000"/>
              <w:bottom w:val="single" w:sz="4" w:space="0" w:color="000000"/>
              <w:right w:val="single" w:sz="4" w:space="0" w:color="000000"/>
            </w:tcBorders>
            <w:shd w:val="clear" w:color="000000" w:fill="F8696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0,62%</w:t>
            </w: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5" w:type="dxa"/>
            <w:tcBorders>
              <w:top w:val="single" w:sz="4" w:space="0" w:color="000000"/>
              <w:left w:val="single" w:sz="4" w:space="0" w:color="000000"/>
              <w:bottom w:val="single" w:sz="4" w:space="0" w:color="000000"/>
              <w:right w:val="single" w:sz="4" w:space="0" w:color="000000"/>
            </w:tcBorders>
            <w:shd w:val="clear" w:color="000000" w:fill="F8766D"/>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0,55%</w:t>
            </w:r>
          </w:p>
        </w:tc>
      </w:tr>
      <w:tr w:rsidR="006A4D59" w:rsidRPr="0067008A">
        <w:trPr>
          <w:trHeight w:val="220"/>
        </w:trPr>
        <w:tc>
          <w:tcPr>
            <w:tcW w:w="15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SOLOMONCORP S.A.</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#¡DIV/0!</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#¡DIV/0!</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#¡DIV/0!</w:t>
            </w:r>
          </w:p>
        </w:tc>
      </w:tr>
      <w:tr w:rsidR="006A4D59" w:rsidRPr="0067008A">
        <w:trPr>
          <w:trHeight w:val="220"/>
        </w:trPr>
        <w:tc>
          <w:tcPr>
            <w:tcW w:w="15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SOUTH PACIFIC INVESTORS LTD</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#¡DIV/0!</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5" w:type="dxa"/>
            <w:tcBorders>
              <w:top w:val="single" w:sz="4" w:space="0" w:color="000000"/>
              <w:left w:val="single" w:sz="4" w:space="0" w:color="000000"/>
              <w:bottom w:val="single" w:sz="4" w:space="0" w:color="000000"/>
              <w:right w:val="single" w:sz="4" w:space="0" w:color="000000"/>
            </w:tcBorders>
            <w:shd w:val="clear" w:color="000000" w:fill="B8D780"/>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24,99%</w:t>
            </w:r>
          </w:p>
        </w:tc>
      </w:tr>
      <w:tr w:rsidR="006A4D59" w:rsidRPr="0067008A">
        <w:trPr>
          <w:trHeight w:val="220"/>
        </w:trPr>
        <w:tc>
          <w:tcPr>
            <w:tcW w:w="15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YOU TRAVEL AGENCY S.A. YTA AGENCIA DE VIAJES Y TURISMO</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96" w:type="dxa"/>
            <w:tcBorders>
              <w:top w:val="single" w:sz="4" w:space="0" w:color="000000"/>
              <w:left w:val="single" w:sz="4" w:space="0" w:color="000000"/>
              <w:bottom w:val="single" w:sz="4" w:space="0" w:color="000000"/>
              <w:right w:val="single" w:sz="4" w:space="0" w:color="000000"/>
            </w:tcBorders>
            <w:shd w:val="clear" w:color="000000" w:fill="F98370"/>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2,38%</w:t>
            </w:r>
          </w:p>
        </w:tc>
        <w:tc>
          <w:tcPr>
            <w:tcW w:w="696" w:type="dxa"/>
            <w:tcBorders>
              <w:top w:val="single" w:sz="4" w:space="0" w:color="000000"/>
              <w:left w:val="single" w:sz="4" w:space="0" w:color="000000"/>
              <w:bottom w:val="single" w:sz="4" w:space="0" w:color="000000"/>
              <w:right w:val="single" w:sz="4" w:space="0" w:color="000000"/>
            </w:tcBorders>
            <w:shd w:val="clear" w:color="000000" w:fill="F87B6E"/>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2,40%</w:t>
            </w:r>
          </w:p>
        </w:tc>
        <w:tc>
          <w:tcPr>
            <w:tcW w:w="696" w:type="dxa"/>
            <w:tcBorders>
              <w:top w:val="single" w:sz="4" w:space="0" w:color="000000"/>
              <w:left w:val="single" w:sz="4" w:space="0" w:color="000000"/>
              <w:bottom w:val="single" w:sz="4" w:space="0" w:color="000000"/>
              <w:right w:val="single" w:sz="4" w:space="0" w:color="000000"/>
            </w:tcBorders>
            <w:shd w:val="clear" w:color="000000" w:fill="F98D71"/>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2,49%</w:t>
            </w:r>
          </w:p>
        </w:tc>
        <w:tc>
          <w:tcPr>
            <w:tcW w:w="696" w:type="dxa"/>
            <w:tcBorders>
              <w:top w:val="single" w:sz="4" w:space="0" w:color="000000"/>
              <w:left w:val="single" w:sz="4" w:space="0" w:color="000000"/>
              <w:bottom w:val="single" w:sz="4" w:space="0" w:color="000000"/>
              <w:right w:val="single" w:sz="4" w:space="0" w:color="000000"/>
            </w:tcBorders>
            <w:shd w:val="clear" w:color="000000" w:fill="FBA376"/>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3,00%</w:t>
            </w:r>
          </w:p>
        </w:tc>
        <w:tc>
          <w:tcPr>
            <w:tcW w:w="599" w:type="dxa"/>
            <w:tcBorders>
              <w:top w:val="single" w:sz="4" w:space="0" w:color="000000"/>
              <w:left w:val="single" w:sz="4" w:space="0" w:color="000000"/>
              <w:bottom w:val="single" w:sz="4" w:space="0" w:color="000000"/>
              <w:right w:val="single" w:sz="4" w:space="0" w:color="000000"/>
            </w:tcBorders>
            <w:shd w:val="clear" w:color="000000" w:fill="F8716C"/>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3,82%</w:t>
            </w:r>
          </w:p>
        </w:tc>
        <w:tc>
          <w:tcPr>
            <w:tcW w:w="695" w:type="dxa"/>
            <w:tcBorders>
              <w:top w:val="single" w:sz="4" w:space="0" w:color="000000"/>
              <w:left w:val="single" w:sz="4" w:space="0" w:color="000000"/>
              <w:bottom w:val="single" w:sz="4" w:space="0" w:color="000000"/>
              <w:right w:val="single" w:sz="4" w:space="0" w:color="000000"/>
            </w:tcBorders>
            <w:shd w:val="clear" w:color="000000" w:fill="FDD07E"/>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2,86%</w:t>
            </w:r>
          </w:p>
        </w:tc>
      </w:tr>
      <w:tr w:rsidR="006A4D59" w:rsidRPr="0067008A">
        <w:trPr>
          <w:trHeight w:val="220"/>
        </w:trPr>
        <w:tc>
          <w:tcPr>
            <w:tcW w:w="1511" w:type="dxa"/>
            <w:tcBorders>
              <w:top w:val="single" w:sz="4" w:space="0" w:color="000000"/>
              <w:left w:val="single" w:sz="4" w:space="0" w:color="000000"/>
              <w:bottom w:val="single" w:sz="4" w:space="0" w:color="000000"/>
              <w:right w:val="single" w:sz="4" w:space="0" w:color="000000"/>
            </w:tcBorders>
            <w:shd w:val="clear" w:color="DCE6F1" w:fill="DCE6F1"/>
            <w:vAlign w:val="bottom"/>
          </w:tcPr>
          <w:p w:rsidR="006A4D59" w:rsidRPr="0067008A" w:rsidRDefault="00921711" w:rsidP="00677E33">
            <w:pPr>
              <w:spacing w:after="240" w:line="360" w:lineRule="auto"/>
              <w:rPr>
                <w:rFonts w:ascii="Times New Roman" w:eastAsia="Times New Roman" w:hAnsi="Times New Roman" w:cs="Times New Roman"/>
                <w:b/>
                <w:bCs/>
                <w:color w:val="000000"/>
              </w:rPr>
            </w:pPr>
            <w:r w:rsidRPr="0067008A">
              <w:rPr>
                <w:rFonts w:ascii="Times New Roman" w:eastAsia="Times New Roman" w:hAnsi="Times New Roman" w:cs="Times New Roman"/>
                <w:b/>
                <w:bCs/>
                <w:color w:val="000000"/>
              </w:rPr>
              <w:t>Total general</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2,00%</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2,10%</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2,38%</w:t>
            </w: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2,79%</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1,97%</w:t>
            </w: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3,35%</w:t>
            </w: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4,50%</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2,73%</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2,37%</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2,83%</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4,85%</w:t>
            </w: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5,28%</w:t>
            </w: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b/>
                <w:bCs/>
                <w:color w:val="FF0000"/>
              </w:rPr>
            </w:pPr>
            <w:r w:rsidRPr="0067008A">
              <w:rPr>
                <w:rFonts w:ascii="Times New Roman" w:eastAsia="Times New Roman" w:hAnsi="Times New Roman" w:cs="Times New Roman"/>
                <w:b/>
                <w:bCs/>
                <w:color w:val="FF0000"/>
              </w:rPr>
              <w:t>3,24%</w:t>
            </w:r>
          </w:p>
        </w:tc>
      </w:tr>
    </w:tbl>
    <w:p w:rsidR="006A4D59" w:rsidRPr="0067008A" w:rsidRDefault="006A4D59" w:rsidP="00677E33">
      <w:pPr>
        <w:spacing w:after="240" w:line="360" w:lineRule="auto"/>
        <w:rPr>
          <w:rFonts w:ascii="Times New Roman" w:hAnsi="Times New Roman" w:cs="Times New Roman"/>
        </w:rPr>
      </w:pPr>
    </w:p>
    <w:p w:rsidR="006A4D59" w:rsidRPr="0067008A" w:rsidRDefault="00921711" w:rsidP="00677E33">
      <w:pPr>
        <w:spacing w:after="240" w:line="360" w:lineRule="auto"/>
        <w:rPr>
          <w:rFonts w:ascii="Times New Roman" w:hAnsi="Times New Roman" w:cs="Times New Roman"/>
        </w:rPr>
      </w:pPr>
      <w:r w:rsidRPr="0067008A">
        <w:rPr>
          <w:rFonts w:ascii="Times New Roman" w:hAnsi="Times New Roman" w:cs="Times New Roman"/>
        </w:rPr>
        <w:t>Fuente: (SRI 2021)</w:t>
      </w:r>
    </w:p>
    <w:p w:rsidR="006A4D59" w:rsidRPr="0067008A" w:rsidRDefault="006A4D59" w:rsidP="00677E33">
      <w:pPr>
        <w:spacing w:after="240" w:line="360" w:lineRule="auto"/>
        <w:jc w:val="both"/>
        <w:rPr>
          <w:rFonts w:ascii="Times New Roman" w:hAnsi="Times New Roman" w:cs="Times New Roman"/>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Puede comprobarse, de acuerdo a este mapa de calor realizado con la comparación entre los ingresos versus los impuestos efectivamente pagados, que las empresas más grandes del grupo son las que menos tributan, mientras que los miembros del grupo han tributado más como personas naturales. El promedio de pago es del 3,24%, cuando el promedio de pago de las personas naturales es del 25% al 30%. La diversidad de colores dentro de un mismo grupo económico obedece a una “planeación tributaria”.</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Esta planeación tributaria es una decisión que se toma en el directorio del grupo, y se contratan a las firmas auditoras más grandes (en el caso del grupo Banco de Guayaquil, se trata de la empresa Deloitte), para que esta empresa establece el horizonte de pago ex ante y con base a ese horizonte se elabora una estructura para soslayar las responsabilidades tributarias. </w:t>
      </w:r>
    </w:p>
    <w:p w:rsidR="006A4D59" w:rsidRPr="0067008A" w:rsidRDefault="006A4D59" w:rsidP="00677E33">
      <w:pPr>
        <w:spacing w:after="240" w:line="360" w:lineRule="auto"/>
        <w:jc w:val="both"/>
        <w:rPr>
          <w:rFonts w:ascii="Times New Roman" w:hAnsi="Times New Roman" w:cs="Times New Roman"/>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De la información presentada por el grupo económico Banco de Guayaquil a la autoridad de control impositivo, SRI, se pasa de un total de seis empresas que dan información tributaria en el año 2008 a 62 empresas que dan información tributaria en el año 2019. La estrategia de la planeación tributaria desarrollada por el grupo Banco de Guayaquil, al presentar a partir del año 2015, una gran cantidad de datos de sus empresas, es la de “difuminación de ingresos”. Antes la presión tributaria estaba concentrada en un número pequeño de empresas del grupo económico, mientras que ahora esa información se difumina, de tal manera que disminuye la carga de imposición tributaria.</w:t>
      </w:r>
    </w:p>
    <w:p w:rsidR="006A4D59" w:rsidRPr="0067008A" w:rsidRDefault="006A4D59" w:rsidP="00677E33">
      <w:pPr>
        <w:spacing w:after="240" w:line="360" w:lineRule="auto"/>
        <w:jc w:val="both"/>
        <w:rPr>
          <w:rFonts w:ascii="Times New Roman" w:hAnsi="Times New Roman" w:cs="Times New Roman"/>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Si se analiza por el volumen de impuestos pagados, sin duda alguna, la empresa que más paga impuestos directos del grupo es el Banco de Guayaquil, pero los datos muestran que inmediatamente luego de esta empresa, son los miembros del grupo los que más pagan impuestos directos, conforme el siguiente mapa de calor que muestra el pago de impuestos del grupo desde los más altos a los más bajos</w:t>
      </w:r>
    </w:p>
    <w:p w:rsidR="006A4D59" w:rsidRPr="0067008A" w:rsidRDefault="00921711" w:rsidP="00677E33">
      <w:pPr>
        <w:pStyle w:val="Descripcin"/>
        <w:spacing w:after="240" w:line="360" w:lineRule="auto"/>
        <w:rPr>
          <w:rFonts w:ascii="Times New Roman" w:hAnsi="Times New Roman" w:cs="Times New Roman"/>
          <w:sz w:val="22"/>
          <w:szCs w:val="22"/>
        </w:rPr>
      </w:pPr>
      <w:r w:rsidRPr="0067008A">
        <w:rPr>
          <w:rFonts w:ascii="Times New Roman" w:hAnsi="Times New Roman" w:cs="Times New Roman"/>
          <w:sz w:val="22"/>
          <w:szCs w:val="22"/>
        </w:rPr>
        <w:t xml:space="preserve">Tabla </w:t>
      </w:r>
      <w:r w:rsidRPr="0067008A">
        <w:rPr>
          <w:rFonts w:ascii="Times New Roman" w:hAnsi="Times New Roman" w:cs="Times New Roman"/>
          <w:sz w:val="22"/>
          <w:szCs w:val="22"/>
        </w:rPr>
        <w:fldChar w:fldCharType="begin"/>
      </w:r>
      <w:r w:rsidRPr="0067008A">
        <w:rPr>
          <w:rFonts w:ascii="Times New Roman" w:hAnsi="Times New Roman" w:cs="Times New Roman"/>
          <w:sz w:val="22"/>
          <w:szCs w:val="22"/>
        </w:rPr>
        <w:instrText>SEQ Tabla \* ARABIC</w:instrText>
      </w:r>
      <w:r w:rsidRPr="0067008A">
        <w:rPr>
          <w:rFonts w:ascii="Times New Roman" w:hAnsi="Times New Roman" w:cs="Times New Roman"/>
          <w:sz w:val="22"/>
          <w:szCs w:val="22"/>
        </w:rPr>
        <w:fldChar w:fldCharType="separate"/>
      </w:r>
      <w:r w:rsidR="0029216E" w:rsidRPr="0067008A">
        <w:rPr>
          <w:rFonts w:ascii="Times New Roman" w:hAnsi="Times New Roman" w:cs="Times New Roman"/>
          <w:noProof/>
          <w:sz w:val="22"/>
          <w:szCs w:val="22"/>
        </w:rPr>
        <w:t>15</w:t>
      </w:r>
      <w:r w:rsidRPr="0067008A">
        <w:rPr>
          <w:rFonts w:ascii="Times New Roman" w:hAnsi="Times New Roman" w:cs="Times New Roman"/>
          <w:sz w:val="22"/>
          <w:szCs w:val="22"/>
        </w:rPr>
        <w:fldChar w:fldCharType="end"/>
      </w:r>
      <w:r w:rsidRPr="0067008A">
        <w:rPr>
          <w:rFonts w:ascii="Times New Roman" w:hAnsi="Times New Roman" w:cs="Times New Roman"/>
          <w:sz w:val="22"/>
          <w:szCs w:val="22"/>
        </w:rPr>
        <w:t xml:space="preserve"> Mapa de calor, por rango de impuestos pagados, empresas del grupo Banco de Guayaquil, periodo 2008-2019, en %</w:t>
      </w:r>
    </w:p>
    <w:tbl>
      <w:tblPr>
        <w:tblW w:w="9480"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2145"/>
        <w:gridCol w:w="709"/>
        <w:gridCol w:w="709"/>
        <w:gridCol w:w="709"/>
        <w:gridCol w:w="819"/>
        <w:gridCol w:w="709"/>
        <w:gridCol w:w="819"/>
        <w:gridCol w:w="819"/>
        <w:gridCol w:w="959"/>
        <w:gridCol w:w="959"/>
        <w:gridCol w:w="959"/>
        <w:gridCol w:w="819"/>
        <w:gridCol w:w="819"/>
        <w:gridCol w:w="819"/>
      </w:tblGrid>
      <w:tr w:rsidR="006A4D59" w:rsidRPr="0067008A">
        <w:trPr>
          <w:trHeight w:val="220"/>
        </w:trPr>
        <w:tc>
          <w:tcPr>
            <w:tcW w:w="15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2008</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2009</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2010</w:t>
            </w: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2011</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2012</w:t>
            </w: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2013</w:t>
            </w: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2014</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2015</w:t>
            </w:r>
          </w:p>
        </w:tc>
        <w:tc>
          <w:tcPr>
            <w:tcW w:w="7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2016</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2017</w:t>
            </w:r>
          </w:p>
        </w:tc>
        <w:tc>
          <w:tcPr>
            <w:tcW w:w="66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2018</w:t>
            </w: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2019</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2020</w:t>
            </w:r>
          </w:p>
        </w:tc>
      </w:tr>
      <w:tr w:rsidR="006A4D59" w:rsidRPr="0067008A">
        <w:trPr>
          <w:trHeight w:val="220"/>
        </w:trPr>
        <w:tc>
          <w:tcPr>
            <w:tcW w:w="15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BANCO DE GUAYAQUIL S.A.</w:t>
            </w:r>
          </w:p>
        </w:tc>
        <w:tc>
          <w:tcPr>
            <w:tcW w:w="528" w:type="dxa"/>
            <w:tcBorders>
              <w:top w:val="single" w:sz="4" w:space="0" w:color="000000"/>
              <w:left w:val="single" w:sz="4" w:space="0" w:color="000000"/>
              <w:bottom w:val="single" w:sz="4" w:space="0" w:color="000000"/>
              <w:right w:val="single" w:sz="4" w:space="0" w:color="000000"/>
            </w:tcBorders>
            <w:shd w:val="clear" w:color="000000" w:fill="FEDA80"/>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2,02%</w:t>
            </w:r>
          </w:p>
        </w:tc>
        <w:tc>
          <w:tcPr>
            <w:tcW w:w="528" w:type="dxa"/>
            <w:tcBorders>
              <w:top w:val="single" w:sz="4" w:space="0" w:color="000000"/>
              <w:left w:val="single" w:sz="4" w:space="0" w:color="000000"/>
              <w:bottom w:val="single" w:sz="4" w:space="0" w:color="000000"/>
              <w:right w:val="single" w:sz="4" w:space="0" w:color="000000"/>
            </w:tcBorders>
            <w:shd w:val="clear" w:color="000000" w:fill="83C87D"/>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2,61%</w:t>
            </w:r>
          </w:p>
        </w:tc>
        <w:tc>
          <w:tcPr>
            <w:tcW w:w="528" w:type="dxa"/>
            <w:tcBorders>
              <w:top w:val="single" w:sz="4" w:space="0" w:color="000000"/>
              <w:left w:val="single" w:sz="4" w:space="0" w:color="000000"/>
              <w:bottom w:val="single" w:sz="4" w:space="0" w:color="000000"/>
              <w:right w:val="single" w:sz="4" w:space="0" w:color="000000"/>
            </w:tcBorders>
            <w:shd w:val="clear" w:color="000000" w:fill="C6DB81"/>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2,83%</w:t>
            </w:r>
          </w:p>
        </w:tc>
        <w:tc>
          <w:tcPr>
            <w:tcW w:w="604" w:type="dxa"/>
            <w:tcBorders>
              <w:top w:val="single" w:sz="4" w:space="0" w:color="000000"/>
              <w:left w:val="single" w:sz="4" w:space="0" w:color="000000"/>
              <w:bottom w:val="single" w:sz="4" w:space="0" w:color="000000"/>
              <w:right w:val="single" w:sz="4" w:space="0" w:color="000000"/>
            </w:tcBorders>
            <w:shd w:val="clear" w:color="000000" w:fill="FFEB84"/>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2,38%</w:t>
            </w:r>
          </w:p>
        </w:tc>
        <w:tc>
          <w:tcPr>
            <w:tcW w:w="528" w:type="dxa"/>
            <w:tcBorders>
              <w:top w:val="single" w:sz="4" w:space="0" w:color="000000"/>
              <w:left w:val="single" w:sz="4" w:space="0" w:color="000000"/>
              <w:bottom w:val="single" w:sz="4" w:space="0" w:color="000000"/>
              <w:right w:val="single" w:sz="4" w:space="0" w:color="000000"/>
            </w:tcBorders>
            <w:shd w:val="clear" w:color="000000" w:fill="63BE7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2,05%</w:t>
            </w:r>
          </w:p>
        </w:tc>
        <w:tc>
          <w:tcPr>
            <w:tcW w:w="604" w:type="dxa"/>
            <w:tcBorders>
              <w:top w:val="single" w:sz="4" w:space="0" w:color="000000"/>
              <w:left w:val="single" w:sz="4" w:space="0" w:color="000000"/>
              <w:bottom w:val="single" w:sz="4" w:space="0" w:color="000000"/>
              <w:right w:val="single" w:sz="4" w:space="0" w:color="000000"/>
            </w:tcBorders>
            <w:shd w:val="clear" w:color="000000" w:fill="F8696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2,96%</w:t>
            </w:r>
          </w:p>
        </w:tc>
        <w:tc>
          <w:tcPr>
            <w:tcW w:w="604" w:type="dxa"/>
            <w:tcBorders>
              <w:top w:val="single" w:sz="4" w:space="0" w:color="000000"/>
              <w:left w:val="single" w:sz="4" w:space="0" w:color="000000"/>
              <w:bottom w:val="single" w:sz="4" w:space="0" w:color="000000"/>
              <w:right w:val="single" w:sz="4" w:space="0" w:color="000000"/>
            </w:tcBorders>
            <w:shd w:val="clear" w:color="000000" w:fill="F8696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3,66%</w:t>
            </w:r>
          </w:p>
        </w:tc>
        <w:tc>
          <w:tcPr>
            <w:tcW w:w="701" w:type="dxa"/>
            <w:tcBorders>
              <w:top w:val="single" w:sz="4" w:space="0" w:color="000000"/>
              <w:left w:val="single" w:sz="4" w:space="0" w:color="000000"/>
              <w:bottom w:val="single" w:sz="4" w:space="0" w:color="000000"/>
              <w:right w:val="single" w:sz="4" w:space="0" w:color="000000"/>
            </w:tcBorders>
            <w:shd w:val="clear" w:color="000000" w:fill="F98670"/>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2,54%</w:t>
            </w:r>
          </w:p>
        </w:tc>
        <w:tc>
          <w:tcPr>
            <w:tcW w:w="702" w:type="dxa"/>
            <w:tcBorders>
              <w:top w:val="single" w:sz="4" w:space="0" w:color="000000"/>
              <w:left w:val="single" w:sz="4" w:space="0" w:color="000000"/>
              <w:bottom w:val="single" w:sz="4" w:space="0" w:color="000000"/>
              <w:right w:val="single" w:sz="4" w:space="0" w:color="000000"/>
            </w:tcBorders>
            <w:shd w:val="clear" w:color="000000" w:fill="F8796E"/>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2,26%</w:t>
            </w:r>
          </w:p>
        </w:tc>
        <w:tc>
          <w:tcPr>
            <w:tcW w:w="701" w:type="dxa"/>
            <w:tcBorders>
              <w:top w:val="single" w:sz="4" w:space="0" w:color="000000"/>
              <w:left w:val="single" w:sz="4" w:space="0" w:color="000000"/>
              <w:bottom w:val="single" w:sz="4" w:space="0" w:color="000000"/>
              <w:right w:val="single" w:sz="4" w:space="0" w:color="000000"/>
            </w:tcBorders>
            <w:shd w:val="clear" w:color="000000" w:fill="FA9473"/>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2,76%</w:t>
            </w:r>
          </w:p>
        </w:tc>
        <w:tc>
          <w:tcPr>
            <w:tcW w:w="664" w:type="dxa"/>
            <w:tcBorders>
              <w:top w:val="single" w:sz="4" w:space="0" w:color="000000"/>
              <w:left w:val="single" w:sz="4" w:space="0" w:color="000000"/>
              <w:bottom w:val="single" w:sz="4" w:space="0" w:color="000000"/>
              <w:right w:val="single" w:sz="4" w:space="0" w:color="000000"/>
            </w:tcBorders>
            <w:shd w:val="clear" w:color="000000" w:fill="FDC77D"/>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4,69%</w:t>
            </w:r>
          </w:p>
        </w:tc>
        <w:tc>
          <w:tcPr>
            <w:tcW w:w="604" w:type="dxa"/>
            <w:tcBorders>
              <w:top w:val="single" w:sz="4" w:space="0" w:color="000000"/>
              <w:left w:val="single" w:sz="4" w:space="0" w:color="000000"/>
              <w:bottom w:val="single" w:sz="4" w:space="0" w:color="000000"/>
              <w:right w:val="single" w:sz="4" w:space="0" w:color="000000"/>
            </w:tcBorders>
            <w:shd w:val="clear" w:color="000000" w:fill="F97C6E"/>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5,25%</w:t>
            </w:r>
          </w:p>
        </w:tc>
        <w:tc>
          <w:tcPr>
            <w:tcW w:w="661" w:type="dxa"/>
            <w:tcBorders>
              <w:top w:val="single" w:sz="4" w:space="0" w:color="000000"/>
              <w:left w:val="single" w:sz="4" w:space="0" w:color="000000"/>
              <w:bottom w:val="single" w:sz="4" w:space="0" w:color="000000"/>
              <w:right w:val="single" w:sz="4" w:space="0" w:color="000000"/>
            </w:tcBorders>
            <w:shd w:val="clear" w:color="000000" w:fill="FEDB81"/>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3,14%</w:t>
            </w:r>
          </w:p>
        </w:tc>
      </w:tr>
      <w:tr w:rsidR="006A4D59" w:rsidRPr="0067008A">
        <w:trPr>
          <w:trHeight w:val="220"/>
        </w:trPr>
        <w:tc>
          <w:tcPr>
            <w:tcW w:w="15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LASSO MENDOZA GUILLERMO ALBERTO SANTIAGO</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000000" w:fill="63BE7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34,81%</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000000" w:fill="63BE7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34,73%</w:t>
            </w:r>
          </w:p>
        </w:tc>
        <w:tc>
          <w:tcPr>
            <w:tcW w:w="604" w:type="dxa"/>
            <w:tcBorders>
              <w:top w:val="single" w:sz="4" w:space="0" w:color="000000"/>
              <w:left w:val="single" w:sz="4" w:space="0" w:color="000000"/>
              <w:bottom w:val="single" w:sz="4" w:space="0" w:color="000000"/>
              <w:right w:val="single" w:sz="4" w:space="0" w:color="000000"/>
            </w:tcBorders>
            <w:shd w:val="clear" w:color="000000" w:fill="63BE7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34,89%</w:t>
            </w:r>
          </w:p>
        </w:tc>
        <w:tc>
          <w:tcPr>
            <w:tcW w:w="701" w:type="dxa"/>
            <w:tcBorders>
              <w:top w:val="single" w:sz="4" w:space="0" w:color="000000"/>
              <w:left w:val="single" w:sz="4" w:space="0" w:color="000000"/>
              <w:bottom w:val="single" w:sz="4" w:space="0" w:color="000000"/>
              <w:right w:val="single" w:sz="4" w:space="0" w:color="000000"/>
            </w:tcBorders>
            <w:shd w:val="clear" w:color="000000" w:fill="B8D780"/>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34,40%</w:t>
            </w:r>
          </w:p>
        </w:tc>
        <w:tc>
          <w:tcPr>
            <w:tcW w:w="702" w:type="dxa"/>
            <w:tcBorders>
              <w:top w:val="single" w:sz="4" w:space="0" w:color="000000"/>
              <w:left w:val="single" w:sz="4" w:space="0" w:color="000000"/>
              <w:bottom w:val="single" w:sz="4" w:space="0" w:color="000000"/>
              <w:right w:val="single" w:sz="4" w:space="0" w:color="000000"/>
            </w:tcBorders>
            <w:shd w:val="clear" w:color="000000" w:fill="BBD881"/>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33,96%</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64" w:type="dxa"/>
            <w:tcBorders>
              <w:top w:val="single" w:sz="4" w:space="0" w:color="000000"/>
              <w:left w:val="single" w:sz="4" w:space="0" w:color="000000"/>
              <w:bottom w:val="single" w:sz="4" w:space="0" w:color="000000"/>
              <w:right w:val="single" w:sz="4" w:space="0" w:color="000000"/>
            </w:tcBorders>
            <w:shd w:val="clear" w:color="000000" w:fill="B1D580"/>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34,24%</w:t>
            </w:r>
          </w:p>
        </w:tc>
        <w:tc>
          <w:tcPr>
            <w:tcW w:w="604" w:type="dxa"/>
            <w:tcBorders>
              <w:top w:val="single" w:sz="4" w:space="0" w:color="000000"/>
              <w:left w:val="single" w:sz="4" w:space="0" w:color="000000"/>
              <w:bottom w:val="single" w:sz="4" w:space="0" w:color="000000"/>
              <w:right w:val="single" w:sz="4" w:space="0" w:color="000000"/>
            </w:tcBorders>
            <w:shd w:val="clear" w:color="000000" w:fill="66BF7C"/>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34,13%</w:t>
            </w:r>
          </w:p>
        </w:tc>
        <w:tc>
          <w:tcPr>
            <w:tcW w:w="661" w:type="dxa"/>
            <w:tcBorders>
              <w:top w:val="single" w:sz="4" w:space="0" w:color="000000"/>
              <w:left w:val="single" w:sz="4" w:space="0" w:color="000000"/>
              <w:bottom w:val="single" w:sz="4" w:space="0" w:color="000000"/>
              <w:right w:val="single" w:sz="4" w:space="0" w:color="000000"/>
            </w:tcBorders>
            <w:shd w:val="clear" w:color="000000" w:fill="98CE7F"/>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34,69%</w:t>
            </w:r>
          </w:p>
        </w:tc>
      </w:tr>
      <w:tr w:rsidR="006A4D59" w:rsidRPr="0067008A">
        <w:trPr>
          <w:trHeight w:val="220"/>
        </w:trPr>
        <w:tc>
          <w:tcPr>
            <w:tcW w:w="15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LASSO MENDOZA CARLOS JORGE</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shd w:val="clear" w:color="000000" w:fill="BED981"/>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32,10%</w:t>
            </w:r>
          </w:p>
        </w:tc>
        <w:tc>
          <w:tcPr>
            <w:tcW w:w="702" w:type="dxa"/>
            <w:tcBorders>
              <w:top w:val="single" w:sz="4" w:space="0" w:color="000000"/>
              <w:left w:val="single" w:sz="4" w:space="0" w:color="000000"/>
              <w:bottom w:val="single" w:sz="4" w:space="0" w:color="000000"/>
              <w:right w:val="single" w:sz="4" w:space="0" w:color="000000"/>
            </w:tcBorders>
            <w:shd w:val="clear" w:color="000000" w:fill="C8DC81"/>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29,71%</w:t>
            </w:r>
          </w:p>
        </w:tc>
        <w:tc>
          <w:tcPr>
            <w:tcW w:w="701" w:type="dxa"/>
            <w:tcBorders>
              <w:top w:val="single" w:sz="4" w:space="0" w:color="000000"/>
              <w:left w:val="single" w:sz="4" w:space="0" w:color="000000"/>
              <w:bottom w:val="single" w:sz="4" w:space="0" w:color="000000"/>
              <w:right w:val="single" w:sz="4" w:space="0" w:color="000000"/>
            </w:tcBorders>
            <w:shd w:val="clear" w:color="000000" w:fill="B6D680"/>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32,96%</w:t>
            </w:r>
          </w:p>
        </w:tc>
        <w:tc>
          <w:tcPr>
            <w:tcW w:w="664" w:type="dxa"/>
            <w:tcBorders>
              <w:top w:val="single" w:sz="4" w:space="0" w:color="000000"/>
              <w:left w:val="single" w:sz="4" w:space="0" w:color="000000"/>
              <w:bottom w:val="single" w:sz="4" w:space="0" w:color="000000"/>
              <w:right w:val="single" w:sz="4" w:space="0" w:color="000000"/>
            </w:tcBorders>
            <w:shd w:val="clear" w:color="000000" w:fill="B2D580"/>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33,94%</w:t>
            </w:r>
          </w:p>
        </w:tc>
        <w:tc>
          <w:tcPr>
            <w:tcW w:w="604" w:type="dxa"/>
            <w:tcBorders>
              <w:top w:val="single" w:sz="4" w:space="0" w:color="000000"/>
              <w:left w:val="single" w:sz="4" w:space="0" w:color="000000"/>
              <w:bottom w:val="single" w:sz="4" w:space="0" w:color="000000"/>
              <w:right w:val="single" w:sz="4" w:space="0" w:color="000000"/>
            </w:tcBorders>
            <w:shd w:val="clear" w:color="000000" w:fill="6BC17C"/>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33,68%</w:t>
            </w:r>
          </w:p>
        </w:tc>
        <w:tc>
          <w:tcPr>
            <w:tcW w:w="661" w:type="dxa"/>
            <w:tcBorders>
              <w:top w:val="single" w:sz="4" w:space="0" w:color="000000"/>
              <w:left w:val="single" w:sz="4" w:space="0" w:color="000000"/>
              <w:bottom w:val="single" w:sz="4" w:space="0" w:color="000000"/>
              <w:right w:val="single" w:sz="4" w:space="0" w:color="000000"/>
            </w:tcBorders>
            <w:shd w:val="clear" w:color="000000" w:fill="9DCF7F"/>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33,17%</w:t>
            </w:r>
          </w:p>
        </w:tc>
      </w:tr>
      <w:tr w:rsidR="006A4D59" w:rsidRPr="0067008A">
        <w:trPr>
          <w:trHeight w:val="220"/>
        </w:trPr>
        <w:tc>
          <w:tcPr>
            <w:tcW w:w="15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LASSO MENDOZA MARIA EUGENIA</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shd w:val="clear" w:color="000000" w:fill="BBD881"/>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33,33%</w:t>
            </w:r>
          </w:p>
        </w:tc>
        <w:tc>
          <w:tcPr>
            <w:tcW w:w="702" w:type="dxa"/>
            <w:tcBorders>
              <w:top w:val="single" w:sz="4" w:space="0" w:color="000000"/>
              <w:left w:val="single" w:sz="4" w:space="0" w:color="000000"/>
              <w:bottom w:val="single" w:sz="4" w:space="0" w:color="000000"/>
              <w:right w:val="single" w:sz="4" w:space="0" w:color="000000"/>
            </w:tcBorders>
            <w:shd w:val="clear" w:color="000000" w:fill="C2DA81"/>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31,57%</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64" w:type="dxa"/>
            <w:tcBorders>
              <w:top w:val="single" w:sz="4" w:space="0" w:color="000000"/>
              <w:left w:val="single" w:sz="4" w:space="0" w:color="000000"/>
              <w:bottom w:val="single" w:sz="4" w:space="0" w:color="000000"/>
              <w:right w:val="single" w:sz="4" w:space="0" w:color="000000"/>
            </w:tcBorders>
            <w:shd w:val="clear" w:color="000000" w:fill="B2D580"/>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33,95%</w:t>
            </w:r>
          </w:p>
        </w:tc>
        <w:tc>
          <w:tcPr>
            <w:tcW w:w="604" w:type="dxa"/>
            <w:tcBorders>
              <w:top w:val="single" w:sz="4" w:space="0" w:color="000000"/>
              <w:left w:val="single" w:sz="4" w:space="0" w:color="000000"/>
              <w:bottom w:val="single" w:sz="4" w:space="0" w:color="000000"/>
              <w:right w:val="single" w:sz="4" w:space="0" w:color="000000"/>
            </w:tcBorders>
            <w:shd w:val="clear" w:color="000000" w:fill="63BE7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34,32%</w:t>
            </w:r>
          </w:p>
        </w:tc>
        <w:tc>
          <w:tcPr>
            <w:tcW w:w="661" w:type="dxa"/>
            <w:tcBorders>
              <w:top w:val="single" w:sz="4" w:space="0" w:color="000000"/>
              <w:left w:val="single" w:sz="4" w:space="0" w:color="000000"/>
              <w:bottom w:val="single" w:sz="4" w:space="0" w:color="000000"/>
              <w:right w:val="single" w:sz="4" w:space="0" w:color="000000"/>
            </w:tcBorders>
            <w:shd w:val="clear" w:color="000000" w:fill="9BCF7F"/>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33,76%</w:t>
            </w:r>
          </w:p>
        </w:tc>
      </w:tr>
      <w:tr w:rsidR="006A4D59" w:rsidRPr="0067008A">
        <w:trPr>
          <w:trHeight w:val="220"/>
        </w:trPr>
        <w:tc>
          <w:tcPr>
            <w:tcW w:w="15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CARRERA DROUET DANILO EDUARDO</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shd w:val="clear" w:color="000000" w:fill="C4DA81"/>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30,07%</w:t>
            </w:r>
          </w:p>
        </w:tc>
        <w:tc>
          <w:tcPr>
            <w:tcW w:w="702" w:type="dxa"/>
            <w:tcBorders>
              <w:top w:val="single" w:sz="4" w:space="0" w:color="000000"/>
              <w:left w:val="single" w:sz="4" w:space="0" w:color="000000"/>
              <w:bottom w:val="single" w:sz="4" w:space="0" w:color="000000"/>
              <w:right w:val="single" w:sz="4" w:space="0" w:color="000000"/>
            </w:tcBorders>
            <w:shd w:val="clear" w:color="000000" w:fill="D7E082"/>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24,95%</w:t>
            </w:r>
          </w:p>
        </w:tc>
        <w:tc>
          <w:tcPr>
            <w:tcW w:w="701" w:type="dxa"/>
            <w:tcBorders>
              <w:top w:val="single" w:sz="4" w:space="0" w:color="000000"/>
              <w:left w:val="single" w:sz="4" w:space="0" w:color="000000"/>
              <w:bottom w:val="single" w:sz="4" w:space="0" w:color="000000"/>
              <w:right w:val="single" w:sz="4" w:space="0" w:color="000000"/>
            </w:tcBorders>
            <w:shd w:val="clear" w:color="000000" w:fill="BAD780"/>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31,57%</w:t>
            </w:r>
          </w:p>
        </w:tc>
        <w:tc>
          <w:tcPr>
            <w:tcW w:w="664" w:type="dxa"/>
            <w:tcBorders>
              <w:top w:val="single" w:sz="4" w:space="0" w:color="000000"/>
              <w:left w:val="single" w:sz="4" w:space="0" w:color="000000"/>
              <w:bottom w:val="single" w:sz="4" w:space="0" w:color="000000"/>
              <w:right w:val="single" w:sz="4" w:space="0" w:color="000000"/>
            </w:tcBorders>
            <w:shd w:val="clear" w:color="000000" w:fill="B3D680"/>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33,30%</w:t>
            </w:r>
          </w:p>
        </w:tc>
        <w:tc>
          <w:tcPr>
            <w:tcW w:w="604" w:type="dxa"/>
            <w:tcBorders>
              <w:top w:val="single" w:sz="4" w:space="0" w:color="000000"/>
              <w:left w:val="single" w:sz="4" w:space="0" w:color="000000"/>
              <w:bottom w:val="single" w:sz="4" w:space="0" w:color="000000"/>
              <w:right w:val="single" w:sz="4" w:space="0" w:color="000000"/>
            </w:tcBorders>
            <w:shd w:val="clear" w:color="000000" w:fill="68C07C"/>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33,91%</w:t>
            </w:r>
          </w:p>
        </w:tc>
        <w:tc>
          <w:tcPr>
            <w:tcW w:w="661" w:type="dxa"/>
            <w:tcBorders>
              <w:top w:val="single" w:sz="4" w:space="0" w:color="000000"/>
              <w:left w:val="single" w:sz="4" w:space="0" w:color="000000"/>
              <w:bottom w:val="single" w:sz="4" w:space="0" w:color="000000"/>
              <w:right w:val="single" w:sz="4" w:space="0" w:color="000000"/>
            </w:tcBorders>
            <w:shd w:val="clear" w:color="000000" w:fill="9FD07F"/>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32,57%</w:t>
            </w:r>
          </w:p>
        </w:tc>
      </w:tr>
      <w:tr w:rsidR="006A4D59" w:rsidRPr="0067008A">
        <w:trPr>
          <w:trHeight w:val="220"/>
        </w:trPr>
        <w:tc>
          <w:tcPr>
            <w:tcW w:w="15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CORPORACION MULTIBG S.A.</w:t>
            </w:r>
          </w:p>
        </w:tc>
        <w:tc>
          <w:tcPr>
            <w:tcW w:w="528" w:type="dxa"/>
            <w:tcBorders>
              <w:top w:val="single" w:sz="4" w:space="0" w:color="000000"/>
              <w:left w:val="single" w:sz="4" w:space="0" w:color="000000"/>
              <w:bottom w:val="single" w:sz="4" w:space="0" w:color="000000"/>
              <w:right w:val="single" w:sz="4" w:space="0" w:color="000000"/>
            </w:tcBorders>
            <w:shd w:val="clear" w:color="000000" w:fill="63BE7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3,54%</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7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61" w:type="dxa"/>
            <w:tcBorders>
              <w:top w:val="single" w:sz="4" w:space="0" w:color="000000"/>
              <w:left w:val="single" w:sz="4" w:space="0" w:color="000000"/>
              <w:bottom w:val="single" w:sz="4" w:space="0" w:color="000000"/>
              <w:right w:val="single" w:sz="4" w:space="0" w:color="000000"/>
            </w:tcBorders>
            <w:shd w:val="clear" w:color="000000" w:fill="F8796E"/>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0,61%</w:t>
            </w:r>
          </w:p>
        </w:tc>
      </w:tr>
      <w:tr w:rsidR="006A4D59" w:rsidRPr="0067008A">
        <w:trPr>
          <w:trHeight w:val="220"/>
        </w:trPr>
        <w:tc>
          <w:tcPr>
            <w:tcW w:w="15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RIO GUAYAS COMPAÑIA DE SEGUROS Y REASEGUROS S.A.</w:t>
            </w:r>
          </w:p>
        </w:tc>
        <w:tc>
          <w:tcPr>
            <w:tcW w:w="528" w:type="dxa"/>
            <w:tcBorders>
              <w:top w:val="single" w:sz="4" w:space="0" w:color="000000"/>
              <w:left w:val="single" w:sz="4" w:space="0" w:color="000000"/>
              <w:bottom w:val="single" w:sz="4" w:space="0" w:color="000000"/>
              <w:right w:val="single" w:sz="4" w:space="0" w:color="000000"/>
            </w:tcBorders>
            <w:shd w:val="clear" w:color="000000" w:fill="F8696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0,47%</w:t>
            </w:r>
          </w:p>
        </w:tc>
        <w:tc>
          <w:tcPr>
            <w:tcW w:w="528" w:type="dxa"/>
            <w:tcBorders>
              <w:top w:val="single" w:sz="4" w:space="0" w:color="000000"/>
              <w:left w:val="single" w:sz="4" w:space="0" w:color="000000"/>
              <w:bottom w:val="single" w:sz="4" w:space="0" w:color="000000"/>
              <w:right w:val="single" w:sz="4" w:space="0" w:color="000000"/>
            </w:tcBorders>
            <w:shd w:val="clear" w:color="000000" w:fill="F8696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0,53%</w:t>
            </w:r>
          </w:p>
        </w:tc>
        <w:tc>
          <w:tcPr>
            <w:tcW w:w="528" w:type="dxa"/>
            <w:tcBorders>
              <w:top w:val="single" w:sz="4" w:space="0" w:color="000000"/>
              <w:left w:val="single" w:sz="4" w:space="0" w:color="000000"/>
              <w:bottom w:val="single" w:sz="4" w:space="0" w:color="000000"/>
              <w:right w:val="single" w:sz="4" w:space="0" w:color="000000"/>
            </w:tcBorders>
            <w:shd w:val="clear" w:color="000000" w:fill="F8696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0,62%</w:t>
            </w: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7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61" w:type="dxa"/>
            <w:tcBorders>
              <w:top w:val="single" w:sz="4" w:space="0" w:color="000000"/>
              <w:left w:val="single" w:sz="4" w:space="0" w:color="000000"/>
              <w:bottom w:val="single" w:sz="4" w:space="0" w:color="000000"/>
              <w:right w:val="single" w:sz="4" w:space="0" w:color="000000"/>
            </w:tcBorders>
            <w:shd w:val="clear" w:color="000000" w:fill="F8766D"/>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0,55%</w:t>
            </w:r>
          </w:p>
        </w:tc>
      </w:tr>
      <w:tr w:rsidR="006A4D59" w:rsidRPr="0067008A">
        <w:trPr>
          <w:trHeight w:val="220"/>
        </w:trPr>
        <w:tc>
          <w:tcPr>
            <w:tcW w:w="15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ARTES GRAFICAS SENEFELDER C.A.</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shd w:val="clear" w:color="000000" w:fill="F8696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0,84%</w:t>
            </w:r>
          </w:p>
        </w:tc>
        <w:tc>
          <w:tcPr>
            <w:tcW w:w="702" w:type="dxa"/>
            <w:tcBorders>
              <w:top w:val="single" w:sz="4" w:space="0" w:color="000000"/>
              <w:left w:val="single" w:sz="4" w:space="0" w:color="000000"/>
              <w:bottom w:val="single" w:sz="4" w:space="0" w:color="000000"/>
              <w:right w:val="single" w:sz="4" w:space="0" w:color="000000"/>
            </w:tcBorders>
            <w:shd w:val="clear" w:color="000000" w:fill="F86A6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0,98%</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61" w:type="dxa"/>
            <w:tcBorders>
              <w:top w:val="single" w:sz="4" w:space="0" w:color="000000"/>
              <w:left w:val="single" w:sz="4" w:space="0" w:color="000000"/>
              <w:bottom w:val="single" w:sz="4" w:space="0" w:color="000000"/>
              <w:right w:val="single" w:sz="4" w:space="0" w:color="000000"/>
            </w:tcBorders>
            <w:shd w:val="clear" w:color="000000" w:fill="F98470"/>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0,91%</w:t>
            </w:r>
          </w:p>
        </w:tc>
      </w:tr>
      <w:tr w:rsidR="006A4D59" w:rsidRPr="0067008A">
        <w:trPr>
          <w:trHeight w:val="220"/>
        </w:trPr>
        <w:tc>
          <w:tcPr>
            <w:tcW w:w="15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ADMINISTRADORA DE FONDOS DE INVERSION Y FIDEICOMISOS BG S.A.</w:t>
            </w:r>
          </w:p>
        </w:tc>
        <w:tc>
          <w:tcPr>
            <w:tcW w:w="528" w:type="dxa"/>
            <w:tcBorders>
              <w:top w:val="single" w:sz="4" w:space="0" w:color="000000"/>
              <w:left w:val="single" w:sz="4" w:space="0" w:color="000000"/>
              <w:bottom w:val="single" w:sz="4" w:space="0" w:color="000000"/>
              <w:right w:val="single" w:sz="4" w:space="0" w:color="000000"/>
            </w:tcBorders>
            <w:shd w:val="clear" w:color="000000" w:fill="FEE683"/>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2,18%</w:t>
            </w:r>
          </w:p>
        </w:tc>
        <w:tc>
          <w:tcPr>
            <w:tcW w:w="528" w:type="dxa"/>
            <w:tcBorders>
              <w:top w:val="single" w:sz="4" w:space="0" w:color="000000"/>
              <w:left w:val="single" w:sz="4" w:space="0" w:color="000000"/>
              <w:bottom w:val="single" w:sz="4" w:space="0" w:color="000000"/>
              <w:right w:val="single" w:sz="4" w:space="0" w:color="000000"/>
            </w:tcBorders>
            <w:shd w:val="clear" w:color="000000" w:fill="FED880"/>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1,72%</w:t>
            </w:r>
          </w:p>
        </w:tc>
        <w:tc>
          <w:tcPr>
            <w:tcW w:w="528" w:type="dxa"/>
            <w:tcBorders>
              <w:top w:val="single" w:sz="4" w:space="0" w:color="000000"/>
              <w:left w:val="single" w:sz="4" w:space="0" w:color="000000"/>
              <w:bottom w:val="single" w:sz="4" w:space="0" w:color="000000"/>
              <w:right w:val="single" w:sz="4" w:space="0" w:color="000000"/>
            </w:tcBorders>
            <w:shd w:val="clear" w:color="000000" w:fill="FCBD7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1,86%</w:t>
            </w: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7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61" w:type="dxa"/>
            <w:tcBorders>
              <w:top w:val="single" w:sz="4" w:space="0" w:color="000000"/>
              <w:left w:val="single" w:sz="4" w:space="0" w:color="000000"/>
              <w:bottom w:val="single" w:sz="4" w:space="0" w:color="000000"/>
              <w:right w:val="single" w:sz="4" w:space="0" w:color="000000"/>
            </w:tcBorders>
            <w:shd w:val="clear" w:color="000000" w:fill="FBAB77"/>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1,91%</w:t>
            </w:r>
          </w:p>
        </w:tc>
      </w:tr>
      <w:tr w:rsidR="006A4D59" w:rsidRPr="0067008A">
        <w:trPr>
          <w:trHeight w:val="220"/>
        </w:trPr>
        <w:tc>
          <w:tcPr>
            <w:tcW w:w="15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YOU TRAVEL AGENCY S.A. YTA AGENCIA DE VIAJES Y TURISMO</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shd w:val="clear" w:color="000000" w:fill="F98370"/>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2,38%</w:t>
            </w:r>
          </w:p>
        </w:tc>
        <w:tc>
          <w:tcPr>
            <w:tcW w:w="702" w:type="dxa"/>
            <w:tcBorders>
              <w:top w:val="single" w:sz="4" w:space="0" w:color="000000"/>
              <w:left w:val="single" w:sz="4" w:space="0" w:color="000000"/>
              <w:bottom w:val="single" w:sz="4" w:space="0" w:color="000000"/>
              <w:right w:val="single" w:sz="4" w:space="0" w:color="000000"/>
            </w:tcBorders>
            <w:shd w:val="clear" w:color="000000" w:fill="F87B6E"/>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2,40%</w:t>
            </w:r>
          </w:p>
        </w:tc>
        <w:tc>
          <w:tcPr>
            <w:tcW w:w="701" w:type="dxa"/>
            <w:tcBorders>
              <w:top w:val="single" w:sz="4" w:space="0" w:color="000000"/>
              <w:left w:val="single" w:sz="4" w:space="0" w:color="000000"/>
              <w:bottom w:val="single" w:sz="4" w:space="0" w:color="000000"/>
              <w:right w:val="single" w:sz="4" w:space="0" w:color="000000"/>
            </w:tcBorders>
            <w:shd w:val="clear" w:color="000000" w:fill="F98D71"/>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2,49%</w:t>
            </w:r>
          </w:p>
        </w:tc>
        <w:tc>
          <w:tcPr>
            <w:tcW w:w="664" w:type="dxa"/>
            <w:tcBorders>
              <w:top w:val="single" w:sz="4" w:space="0" w:color="000000"/>
              <w:left w:val="single" w:sz="4" w:space="0" w:color="000000"/>
              <w:bottom w:val="single" w:sz="4" w:space="0" w:color="000000"/>
              <w:right w:val="single" w:sz="4" w:space="0" w:color="000000"/>
            </w:tcBorders>
            <w:shd w:val="clear" w:color="000000" w:fill="FBA376"/>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3,00%</w:t>
            </w:r>
          </w:p>
        </w:tc>
        <w:tc>
          <w:tcPr>
            <w:tcW w:w="604" w:type="dxa"/>
            <w:tcBorders>
              <w:top w:val="single" w:sz="4" w:space="0" w:color="000000"/>
              <w:left w:val="single" w:sz="4" w:space="0" w:color="000000"/>
              <w:bottom w:val="single" w:sz="4" w:space="0" w:color="000000"/>
              <w:right w:val="single" w:sz="4" w:space="0" w:color="000000"/>
            </w:tcBorders>
            <w:shd w:val="clear" w:color="000000" w:fill="F8716C"/>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3,82%</w:t>
            </w:r>
          </w:p>
        </w:tc>
        <w:tc>
          <w:tcPr>
            <w:tcW w:w="661" w:type="dxa"/>
            <w:tcBorders>
              <w:top w:val="single" w:sz="4" w:space="0" w:color="000000"/>
              <w:left w:val="single" w:sz="4" w:space="0" w:color="000000"/>
              <w:bottom w:val="single" w:sz="4" w:space="0" w:color="000000"/>
              <w:right w:val="single" w:sz="4" w:space="0" w:color="000000"/>
            </w:tcBorders>
            <w:shd w:val="clear" w:color="000000" w:fill="FDD07E"/>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2,86%</w:t>
            </w:r>
          </w:p>
        </w:tc>
      </w:tr>
      <w:tr w:rsidR="006A4D59" w:rsidRPr="0067008A">
        <w:trPr>
          <w:trHeight w:val="220"/>
        </w:trPr>
        <w:tc>
          <w:tcPr>
            <w:tcW w:w="15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LIVERCOSTAS S.A.</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shd w:val="clear" w:color="000000" w:fill="F87A6E"/>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1,84%</w:t>
            </w:r>
          </w:p>
        </w:tc>
        <w:tc>
          <w:tcPr>
            <w:tcW w:w="702" w:type="dxa"/>
            <w:tcBorders>
              <w:top w:val="single" w:sz="4" w:space="0" w:color="000000"/>
              <w:left w:val="single" w:sz="4" w:space="0" w:color="000000"/>
              <w:bottom w:val="single" w:sz="4" w:space="0" w:color="000000"/>
              <w:right w:val="single" w:sz="4" w:space="0" w:color="000000"/>
            </w:tcBorders>
            <w:shd w:val="clear" w:color="000000" w:fill="F8706C"/>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1,41%</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61" w:type="dxa"/>
            <w:tcBorders>
              <w:top w:val="single" w:sz="4" w:space="0" w:color="000000"/>
              <w:left w:val="single" w:sz="4" w:space="0" w:color="000000"/>
              <w:bottom w:val="single" w:sz="4" w:space="0" w:color="000000"/>
              <w:right w:val="single" w:sz="4" w:space="0" w:color="000000"/>
            </w:tcBorders>
            <w:shd w:val="clear" w:color="000000" w:fill="FAA075"/>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1,62%</w:t>
            </w:r>
          </w:p>
        </w:tc>
      </w:tr>
      <w:tr w:rsidR="006A4D59" w:rsidRPr="0067008A">
        <w:trPr>
          <w:trHeight w:val="220"/>
        </w:trPr>
        <w:tc>
          <w:tcPr>
            <w:tcW w:w="15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COLARI S.A. AGENCIA ASESORA PRODUCTORA DE SEGUROS</w:t>
            </w:r>
          </w:p>
        </w:tc>
        <w:tc>
          <w:tcPr>
            <w:tcW w:w="528" w:type="dxa"/>
            <w:tcBorders>
              <w:top w:val="single" w:sz="4" w:space="0" w:color="000000"/>
              <w:left w:val="single" w:sz="4" w:space="0" w:color="000000"/>
              <w:bottom w:val="single" w:sz="4" w:space="0" w:color="000000"/>
              <w:right w:val="single" w:sz="4" w:space="0" w:color="000000"/>
            </w:tcBorders>
            <w:shd w:val="clear" w:color="000000" w:fill="EDE683"/>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2,39%</w:t>
            </w:r>
          </w:p>
        </w:tc>
        <w:tc>
          <w:tcPr>
            <w:tcW w:w="528" w:type="dxa"/>
            <w:tcBorders>
              <w:top w:val="single" w:sz="4" w:space="0" w:color="000000"/>
              <w:left w:val="single" w:sz="4" w:space="0" w:color="000000"/>
              <w:bottom w:val="single" w:sz="4" w:space="0" w:color="000000"/>
              <w:right w:val="single" w:sz="4" w:space="0" w:color="000000"/>
            </w:tcBorders>
            <w:shd w:val="clear" w:color="000000" w:fill="FFEB84"/>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1,92%</w:t>
            </w:r>
          </w:p>
        </w:tc>
        <w:tc>
          <w:tcPr>
            <w:tcW w:w="528" w:type="dxa"/>
            <w:tcBorders>
              <w:top w:val="single" w:sz="4" w:space="0" w:color="000000"/>
              <w:left w:val="single" w:sz="4" w:space="0" w:color="000000"/>
              <w:bottom w:val="single" w:sz="4" w:space="0" w:color="000000"/>
              <w:right w:val="single" w:sz="4" w:space="0" w:color="000000"/>
            </w:tcBorders>
            <w:shd w:val="clear" w:color="000000" w:fill="63BE7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3,33%</w:t>
            </w:r>
          </w:p>
        </w:tc>
        <w:tc>
          <w:tcPr>
            <w:tcW w:w="604" w:type="dxa"/>
            <w:tcBorders>
              <w:top w:val="single" w:sz="4" w:space="0" w:color="000000"/>
              <w:left w:val="single" w:sz="4" w:space="0" w:color="000000"/>
              <w:bottom w:val="single" w:sz="4" w:space="0" w:color="000000"/>
              <w:right w:val="single" w:sz="4" w:space="0" w:color="000000"/>
            </w:tcBorders>
            <w:shd w:val="clear" w:color="000000" w:fill="F8696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1,20%</w:t>
            </w:r>
          </w:p>
        </w:tc>
        <w:tc>
          <w:tcPr>
            <w:tcW w:w="528" w:type="dxa"/>
            <w:tcBorders>
              <w:top w:val="single" w:sz="4" w:space="0" w:color="000000"/>
              <w:left w:val="single" w:sz="4" w:space="0" w:color="000000"/>
              <w:bottom w:val="single" w:sz="4" w:space="0" w:color="000000"/>
              <w:right w:val="single" w:sz="4" w:space="0" w:color="000000"/>
            </w:tcBorders>
            <w:shd w:val="clear" w:color="000000" w:fill="F8696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0,29%</w:t>
            </w: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7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61" w:type="dxa"/>
            <w:tcBorders>
              <w:top w:val="single" w:sz="4" w:space="0" w:color="000000"/>
              <w:left w:val="single" w:sz="4" w:space="0" w:color="000000"/>
              <w:bottom w:val="single" w:sz="4" w:space="0" w:color="000000"/>
              <w:right w:val="single" w:sz="4" w:space="0" w:color="000000"/>
            </w:tcBorders>
            <w:shd w:val="clear" w:color="000000" w:fill="FBA776"/>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1,79%</w:t>
            </w:r>
          </w:p>
        </w:tc>
      </w:tr>
      <w:tr w:rsidR="006A4D59" w:rsidRPr="0067008A">
        <w:trPr>
          <w:trHeight w:val="220"/>
        </w:trPr>
        <w:tc>
          <w:tcPr>
            <w:tcW w:w="15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CASA DE VALORES MULTIVALORES B.G. S.A.</w:t>
            </w:r>
          </w:p>
        </w:tc>
        <w:tc>
          <w:tcPr>
            <w:tcW w:w="528" w:type="dxa"/>
            <w:tcBorders>
              <w:top w:val="single" w:sz="4" w:space="0" w:color="000000"/>
              <w:left w:val="single" w:sz="4" w:space="0" w:color="000000"/>
              <w:bottom w:val="single" w:sz="4" w:space="0" w:color="000000"/>
              <w:right w:val="single" w:sz="4" w:space="0" w:color="000000"/>
            </w:tcBorders>
            <w:shd w:val="clear" w:color="000000" w:fill="F8E984"/>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2,31%</w:t>
            </w:r>
          </w:p>
        </w:tc>
        <w:tc>
          <w:tcPr>
            <w:tcW w:w="528" w:type="dxa"/>
            <w:tcBorders>
              <w:top w:val="single" w:sz="4" w:space="0" w:color="000000"/>
              <w:left w:val="single" w:sz="4" w:space="0" w:color="000000"/>
              <w:bottom w:val="single" w:sz="4" w:space="0" w:color="000000"/>
              <w:right w:val="single" w:sz="4" w:space="0" w:color="000000"/>
            </w:tcBorders>
            <w:shd w:val="clear" w:color="000000" w:fill="63BE7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2,78%</w:t>
            </w:r>
          </w:p>
        </w:tc>
        <w:tc>
          <w:tcPr>
            <w:tcW w:w="528" w:type="dxa"/>
            <w:tcBorders>
              <w:top w:val="single" w:sz="4" w:space="0" w:color="000000"/>
              <w:left w:val="single" w:sz="4" w:space="0" w:color="000000"/>
              <w:bottom w:val="single" w:sz="4" w:space="0" w:color="000000"/>
              <w:right w:val="single" w:sz="4" w:space="0" w:color="000000"/>
            </w:tcBorders>
            <w:shd w:val="clear" w:color="000000" w:fill="FFEB84"/>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2,54%</w:t>
            </w: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7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61" w:type="dxa"/>
            <w:tcBorders>
              <w:top w:val="single" w:sz="4" w:space="0" w:color="000000"/>
              <w:left w:val="single" w:sz="4" w:space="0" w:color="000000"/>
              <w:bottom w:val="single" w:sz="4" w:space="0" w:color="000000"/>
              <w:right w:val="single" w:sz="4" w:space="0" w:color="000000"/>
            </w:tcBorders>
            <w:shd w:val="clear" w:color="000000" w:fill="FCC37C"/>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2,52%</w:t>
            </w:r>
          </w:p>
        </w:tc>
      </w:tr>
      <w:tr w:rsidR="006A4D59" w:rsidRPr="0067008A">
        <w:trPr>
          <w:trHeight w:val="220"/>
        </w:trPr>
        <w:tc>
          <w:tcPr>
            <w:tcW w:w="15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BROTHER'S INVESTMENT LTD.</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shd w:val="clear" w:color="000000" w:fill="63BE7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65,15%</w:t>
            </w:r>
          </w:p>
        </w:tc>
        <w:tc>
          <w:tcPr>
            <w:tcW w:w="702" w:type="dxa"/>
            <w:tcBorders>
              <w:top w:val="single" w:sz="4" w:space="0" w:color="000000"/>
              <w:left w:val="single" w:sz="4" w:space="0" w:color="000000"/>
              <w:bottom w:val="single" w:sz="4" w:space="0" w:color="000000"/>
              <w:right w:val="single" w:sz="4" w:space="0" w:color="000000"/>
            </w:tcBorders>
            <w:shd w:val="clear" w:color="000000" w:fill="63BE7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61,91%</w:t>
            </w:r>
          </w:p>
        </w:tc>
        <w:tc>
          <w:tcPr>
            <w:tcW w:w="701" w:type="dxa"/>
            <w:tcBorders>
              <w:top w:val="single" w:sz="4" w:space="0" w:color="000000"/>
              <w:left w:val="single" w:sz="4" w:space="0" w:color="000000"/>
              <w:bottom w:val="single" w:sz="4" w:space="0" w:color="000000"/>
              <w:right w:val="single" w:sz="4" w:space="0" w:color="000000"/>
            </w:tcBorders>
            <w:shd w:val="clear" w:color="000000" w:fill="63BE7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63,52%</w:t>
            </w:r>
          </w:p>
        </w:tc>
        <w:tc>
          <w:tcPr>
            <w:tcW w:w="664" w:type="dxa"/>
            <w:tcBorders>
              <w:top w:val="single" w:sz="4" w:space="0" w:color="000000"/>
              <w:left w:val="single" w:sz="4" w:space="0" w:color="000000"/>
              <w:bottom w:val="single" w:sz="4" w:space="0" w:color="000000"/>
              <w:right w:val="single" w:sz="4" w:space="0" w:color="000000"/>
            </w:tcBorders>
            <w:shd w:val="clear" w:color="000000" w:fill="63BE7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61,62%</w:t>
            </w: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61" w:type="dxa"/>
            <w:tcBorders>
              <w:top w:val="single" w:sz="4" w:space="0" w:color="000000"/>
              <w:left w:val="single" w:sz="4" w:space="0" w:color="000000"/>
              <w:bottom w:val="single" w:sz="4" w:space="0" w:color="000000"/>
              <w:right w:val="single" w:sz="4" w:space="0" w:color="000000"/>
            </w:tcBorders>
            <w:shd w:val="clear" w:color="000000" w:fill="63BE7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50,44%</w:t>
            </w:r>
          </w:p>
        </w:tc>
      </w:tr>
      <w:tr w:rsidR="006A4D59" w:rsidRPr="0067008A">
        <w:trPr>
          <w:trHeight w:val="220"/>
        </w:trPr>
        <w:tc>
          <w:tcPr>
            <w:tcW w:w="15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MUÑOZ SALGADO MERCEDES LEONOR</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shd w:val="clear" w:color="000000" w:fill="FDCF7E"/>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6,79%</w:t>
            </w:r>
          </w:p>
        </w:tc>
        <w:tc>
          <w:tcPr>
            <w:tcW w:w="702" w:type="dxa"/>
            <w:tcBorders>
              <w:top w:val="single" w:sz="4" w:space="0" w:color="000000"/>
              <w:left w:val="single" w:sz="4" w:space="0" w:color="000000"/>
              <w:bottom w:val="single" w:sz="4" w:space="0" w:color="000000"/>
              <w:right w:val="single" w:sz="4" w:space="0" w:color="000000"/>
            </w:tcBorders>
            <w:shd w:val="clear" w:color="000000" w:fill="FFEB84"/>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12,01%</w:t>
            </w:r>
          </w:p>
        </w:tc>
        <w:tc>
          <w:tcPr>
            <w:tcW w:w="701" w:type="dxa"/>
            <w:tcBorders>
              <w:top w:val="single" w:sz="4" w:space="0" w:color="000000"/>
              <w:left w:val="single" w:sz="4" w:space="0" w:color="000000"/>
              <w:bottom w:val="single" w:sz="4" w:space="0" w:color="000000"/>
              <w:right w:val="single" w:sz="4" w:space="0" w:color="000000"/>
            </w:tcBorders>
            <w:shd w:val="clear" w:color="000000" w:fill="EDE683"/>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12,41%</w:t>
            </w:r>
          </w:p>
        </w:tc>
        <w:tc>
          <w:tcPr>
            <w:tcW w:w="664" w:type="dxa"/>
            <w:tcBorders>
              <w:top w:val="single" w:sz="4" w:space="0" w:color="000000"/>
              <w:left w:val="single" w:sz="4" w:space="0" w:color="000000"/>
              <w:bottom w:val="single" w:sz="4" w:space="0" w:color="000000"/>
              <w:right w:val="single" w:sz="4" w:space="0" w:color="000000"/>
            </w:tcBorders>
            <w:shd w:val="clear" w:color="000000" w:fill="EDE683"/>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12,84%</w:t>
            </w:r>
          </w:p>
        </w:tc>
        <w:tc>
          <w:tcPr>
            <w:tcW w:w="604" w:type="dxa"/>
            <w:tcBorders>
              <w:top w:val="single" w:sz="4" w:space="0" w:color="000000"/>
              <w:left w:val="single" w:sz="4" w:space="0" w:color="000000"/>
              <w:bottom w:val="single" w:sz="4" w:space="0" w:color="000000"/>
              <w:right w:val="single" w:sz="4" w:space="0" w:color="000000"/>
            </w:tcBorders>
            <w:shd w:val="clear" w:color="000000" w:fill="FDD680"/>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17,65%</w:t>
            </w:r>
          </w:p>
        </w:tc>
        <w:tc>
          <w:tcPr>
            <w:tcW w:w="661" w:type="dxa"/>
            <w:tcBorders>
              <w:top w:val="single" w:sz="4" w:space="0" w:color="000000"/>
              <w:left w:val="single" w:sz="4" w:space="0" w:color="000000"/>
              <w:bottom w:val="single" w:sz="4" w:space="0" w:color="000000"/>
              <w:right w:val="single" w:sz="4" w:space="0" w:color="000000"/>
            </w:tcBorders>
            <w:shd w:val="clear" w:color="000000" w:fill="E0E283"/>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12,97%</w:t>
            </w:r>
          </w:p>
        </w:tc>
      </w:tr>
      <w:tr w:rsidR="006A4D59" w:rsidRPr="0067008A">
        <w:trPr>
          <w:trHeight w:val="220"/>
        </w:trPr>
        <w:tc>
          <w:tcPr>
            <w:tcW w:w="15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LASSO ALCIVAR GUILLERMO ENRIQUE</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7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000000" w:fill="E1E383"/>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23,14%</w:t>
            </w:r>
          </w:p>
        </w:tc>
        <w:tc>
          <w:tcPr>
            <w:tcW w:w="661" w:type="dxa"/>
            <w:tcBorders>
              <w:top w:val="single" w:sz="4" w:space="0" w:color="000000"/>
              <w:left w:val="single" w:sz="4" w:space="0" w:color="000000"/>
              <w:bottom w:val="single" w:sz="4" w:space="0" w:color="000000"/>
              <w:right w:val="single" w:sz="4" w:space="0" w:color="000000"/>
            </w:tcBorders>
            <w:shd w:val="clear" w:color="000000" w:fill="BED981"/>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23,14%</w:t>
            </w:r>
          </w:p>
        </w:tc>
      </w:tr>
      <w:tr w:rsidR="006A4D59" w:rsidRPr="0067008A">
        <w:trPr>
          <w:trHeight w:val="220"/>
        </w:trPr>
        <w:tc>
          <w:tcPr>
            <w:tcW w:w="15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CARRERA LASSO ANA MARIA</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shd w:val="clear" w:color="000000" w:fill="D6E082"/>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23,36%</w:t>
            </w:r>
          </w:p>
        </w:tc>
        <w:tc>
          <w:tcPr>
            <w:tcW w:w="702" w:type="dxa"/>
            <w:tcBorders>
              <w:top w:val="single" w:sz="4" w:space="0" w:color="000000"/>
              <w:left w:val="single" w:sz="4" w:space="0" w:color="000000"/>
              <w:bottom w:val="single" w:sz="4" w:space="0" w:color="000000"/>
              <w:right w:val="single" w:sz="4" w:space="0" w:color="000000"/>
            </w:tcBorders>
            <w:shd w:val="clear" w:color="000000" w:fill="FFEB84"/>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11,95%</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61" w:type="dxa"/>
            <w:tcBorders>
              <w:top w:val="single" w:sz="4" w:space="0" w:color="000000"/>
              <w:left w:val="single" w:sz="4" w:space="0" w:color="000000"/>
              <w:bottom w:val="single" w:sz="4" w:space="0" w:color="000000"/>
              <w:right w:val="single" w:sz="4" w:space="0" w:color="000000"/>
            </w:tcBorders>
            <w:shd w:val="clear" w:color="000000" w:fill="C8DB81"/>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20,28%</w:t>
            </w:r>
          </w:p>
        </w:tc>
      </w:tr>
      <w:tr w:rsidR="006A4D59" w:rsidRPr="0067008A">
        <w:trPr>
          <w:trHeight w:val="220"/>
        </w:trPr>
        <w:tc>
          <w:tcPr>
            <w:tcW w:w="15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HOLDING ANMACALGRUP S.A.</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shd w:val="clear" w:color="000000" w:fill="EBE683"/>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15,81%</w:t>
            </w:r>
          </w:p>
        </w:tc>
        <w:tc>
          <w:tcPr>
            <w:tcW w:w="7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61" w:type="dxa"/>
            <w:tcBorders>
              <w:top w:val="single" w:sz="4" w:space="0" w:color="000000"/>
              <w:left w:val="single" w:sz="4" w:space="0" w:color="000000"/>
              <w:bottom w:val="single" w:sz="4" w:space="0" w:color="000000"/>
              <w:right w:val="single" w:sz="4" w:space="0" w:color="000000"/>
            </w:tcBorders>
            <w:shd w:val="clear" w:color="000000" w:fill="D7E082"/>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15,81%</w:t>
            </w:r>
          </w:p>
        </w:tc>
      </w:tr>
      <w:tr w:rsidR="006A4D59" w:rsidRPr="0067008A">
        <w:trPr>
          <w:trHeight w:val="220"/>
        </w:trPr>
        <w:tc>
          <w:tcPr>
            <w:tcW w:w="15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MULTIPREDIOS UNO</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shd w:val="clear" w:color="000000" w:fill="FFEB84"/>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8,39%</w:t>
            </w:r>
          </w:p>
        </w:tc>
        <w:tc>
          <w:tcPr>
            <w:tcW w:w="7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#¡DIV/0!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#¡DIV/0!</w:t>
            </w:r>
          </w:p>
        </w:tc>
        <w:tc>
          <w:tcPr>
            <w:tcW w:w="664" w:type="dxa"/>
            <w:tcBorders>
              <w:top w:val="single" w:sz="4" w:space="0" w:color="000000"/>
              <w:left w:val="single" w:sz="4" w:space="0" w:color="000000"/>
              <w:bottom w:val="single" w:sz="4" w:space="0" w:color="000000"/>
              <w:right w:val="single" w:sz="4" w:space="0" w:color="000000"/>
            </w:tcBorders>
            <w:shd w:val="clear" w:color="000000" w:fill="F87A6E"/>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1,07%</w:t>
            </w:r>
          </w:p>
        </w:tc>
        <w:tc>
          <w:tcPr>
            <w:tcW w:w="604" w:type="dxa"/>
            <w:tcBorders>
              <w:top w:val="single" w:sz="4" w:space="0" w:color="000000"/>
              <w:left w:val="single" w:sz="4" w:space="0" w:color="000000"/>
              <w:bottom w:val="single" w:sz="4" w:space="0" w:color="000000"/>
              <w:right w:val="single" w:sz="4" w:space="0" w:color="000000"/>
            </w:tcBorders>
            <w:shd w:val="clear" w:color="000000" w:fill="F8696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2,61%</w:t>
            </w:r>
          </w:p>
        </w:tc>
        <w:tc>
          <w:tcPr>
            <w:tcW w:w="661" w:type="dxa"/>
            <w:tcBorders>
              <w:top w:val="single" w:sz="4" w:space="0" w:color="000000"/>
              <w:left w:val="single" w:sz="4" w:space="0" w:color="000000"/>
              <w:bottom w:val="single" w:sz="4" w:space="0" w:color="000000"/>
              <w:right w:val="single" w:sz="4" w:space="0" w:color="000000"/>
            </w:tcBorders>
            <w:shd w:val="clear" w:color="000000" w:fill="FFEB84"/>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3,54%</w:t>
            </w:r>
          </w:p>
        </w:tc>
      </w:tr>
      <w:tr w:rsidR="006A4D59" w:rsidRPr="0067008A">
        <w:trPr>
          <w:trHeight w:val="220"/>
        </w:trPr>
        <w:tc>
          <w:tcPr>
            <w:tcW w:w="15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INMOBILIARIO BG DOS MIL NUEVE</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shd w:val="clear" w:color="000000" w:fill="FBAF78"/>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4,91%</w:t>
            </w:r>
          </w:p>
        </w:tc>
        <w:tc>
          <w:tcPr>
            <w:tcW w:w="702" w:type="dxa"/>
            <w:tcBorders>
              <w:top w:val="single" w:sz="4" w:space="0" w:color="000000"/>
              <w:left w:val="single" w:sz="4" w:space="0" w:color="000000"/>
              <w:bottom w:val="single" w:sz="4" w:space="0" w:color="000000"/>
              <w:right w:val="single" w:sz="4" w:space="0" w:color="000000"/>
            </w:tcBorders>
            <w:shd w:val="clear" w:color="000000" w:fill="D4DF82"/>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25,91%</w:t>
            </w:r>
          </w:p>
        </w:tc>
        <w:tc>
          <w:tcPr>
            <w:tcW w:w="701" w:type="dxa"/>
            <w:tcBorders>
              <w:top w:val="single" w:sz="4" w:space="0" w:color="000000"/>
              <w:left w:val="single" w:sz="4" w:space="0" w:color="000000"/>
              <w:bottom w:val="single" w:sz="4" w:space="0" w:color="000000"/>
              <w:right w:val="single" w:sz="4" w:space="0" w:color="000000"/>
            </w:tcBorders>
            <w:shd w:val="clear" w:color="000000" w:fill="F8696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1,25%</w:t>
            </w:r>
          </w:p>
        </w:tc>
        <w:tc>
          <w:tcPr>
            <w:tcW w:w="664" w:type="dxa"/>
            <w:tcBorders>
              <w:top w:val="single" w:sz="4" w:space="0" w:color="000000"/>
              <w:left w:val="single" w:sz="4" w:space="0" w:color="000000"/>
              <w:bottom w:val="single" w:sz="4" w:space="0" w:color="000000"/>
              <w:right w:val="single" w:sz="4" w:space="0" w:color="000000"/>
            </w:tcBorders>
            <w:shd w:val="clear" w:color="000000" w:fill="FCEA84"/>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7,63%</w:t>
            </w: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61" w:type="dxa"/>
            <w:tcBorders>
              <w:top w:val="single" w:sz="4" w:space="0" w:color="000000"/>
              <w:left w:val="single" w:sz="4" w:space="0" w:color="000000"/>
              <w:bottom w:val="single" w:sz="4" w:space="0" w:color="000000"/>
              <w:right w:val="single" w:sz="4" w:space="0" w:color="000000"/>
            </w:tcBorders>
            <w:shd w:val="clear" w:color="000000" w:fill="FDEB84"/>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4,37%</w:t>
            </w:r>
          </w:p>
        </w:tc>
      </w:tr>
      <w:tr w:rsidR="006A4D59" w:rsidRPr="0067008A">
        <w:trPr>
          <w:trHeight w:val="220"/>
        </w:trPr>
        <w:tc>
          <w:tcPr>
            <w:tcW w:w="15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ADMINISTRACION E INVERSION DE BIENES DE CAPITALES TRES</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shd w:val="clear" w:color="000000" w:fill="F98D72"/>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2,96%</w:t>
            </w:r>
          </w:p>
        </w:tc>
        <w:tc>
          <w:tcPr>
            <w:tcW w:w="702" w:type="dxa"/>
            <w:tcBorders>
              <w:top w:val="single" w:sz="4" w:space="0" w:color="000000"/>
              <w:left w:val="single" w:sz="4" w:space="0" w:color="000000"/>
              <w:bottom w:val="single" w:sz="4" w:space="0" w:color="000000"/>
              <w:right w:val="single" w:sz="4" w:space="0" w:color="000000"/>
            </w:tcBorders>
            <w:shd w:val="clear" w:color="000000" w:fill="F86D6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1,18%</w:t>
            </w:r>
          </w:p>
        </w:tc>
        <w:tc>
          <w:tcPr>
            <w:tcW w:w="701" w:type="dxa"/>
            <w:tcBorders>
              <w:top w:val="single" w:sz="4" w:space="0" w:color="000000"/>
              <w:left w:val="single" w:sz="4" w:space="0" w:color="000000"/>
              <w:bottom w:val="single" w:sz="4" w:space="0" w:color="000000"/>
              <w:right w:val="single" w:sz="4" w:space="0" w:color="000000"/>
            </w:tcBorders>
            <w:shd w:val="clear" w:color="000000" w:fill="FEE983"/>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5,69%</w:t>
            </w:r>
          </w:p>
        </w:tc>
        <w:tc>
          <w:tcPr>
            <w:tcW w:w="664" w:type="dxa"/>
            <w:tcBorders>
              <w:top w:val="single" w:sz="4" w:space="0" w:color="000000"/>
              <w:left w:val="single" w:sz="4" w:space="0" w:color="000000"/>
              <w:bottom w:val="single" w:sz="4" w:space="0" w:color="000000"/>
              <w:right w:val="single" w:sz="4" w:space="0" w:color="000000"/>
            </w:tcBorders>
            <w:shd w:val="clear" w:color="000000" w:fill="FCBE7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4,24%</w:t>
            </w:r>
          </w:p>
        </w:tc>
        <w:tc>
          <w:tcPr>
            <w:tcW w:w="604" w:type="dxa"/>
            <w:tcBorders>
              <w:top w:val="single" w:sz="4" w:space="0" w:color="000000"/>
              <w:left w:val="single" w:sz="4" w:space="0" w:color="000000"/>
              <w:bottom w:val="single" w:sz="4" w:space="0" w:color="000000"/>
              <w:right w:val="single" w:sz="4" w:space="0" w:color="000000"/>
            </w:tcBorders>
            <w:shd w:val="clear" w:color="000000" w:fill="F8696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2,64%</w:t>
            </w:r>
          </w:p>
        </w:tc>
        <w:tc>
          <w:tcPr>
            <w:tcW w:w="661" w:type="dxa"/>
            <w:tcBorders>
              <w:top w:val="single" w:sz="4" w:space="0" w:color="000000"/>
              <w:left w:val="single" w:sz="4" w:space="0" w:color="000000"/>
              <w:bottom w:val="single" w:sz="4" w:space="0" w:color="000000"/>
              <w:right w:val="single" w:sz="4" w:space="0" w:color="000000"/>
            </w:tcBorders>
            <w:shd w:val="clear" w:color="000000" w:fill="FCBD7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2,38%</w:t>
            </w:r>
          </w:p>
        </w:tc>
      </w:tr>
      <w:tr w:rsidR="006A4D59" w:rsidRPr="0067008A">
        <w:trPr>
          <w:trHeight w:val="220"/>
        </w:trPr>
        <w:tc>
          <w:tcPr>
            <w:tcW w:w="15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INMOBILIARIO BG DOS MIL CUATRO</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7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64" w:type="dxa"/>
            <w:tcBorders>
              <w:top w:val="single" w:sz="4" w:space="0" w:color="000000"/>
              <w:left w:val="single" w:sz="4" w:space="0" w:color="000000"/>
              <w:bottom w:val="single" w:sz="4" w:space="0" w:color="000000"/>
              <w:right w:val="single" w:sz="4" w:space="0" w:color="000000"/>
            </w:tcBorders>
            <w:shd w:val="clear" w:color="000000" w:fill="FBB078"/>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3,60%</w:t>
            </w: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61" w:type="dxa"/>
            <w:tcBorders>
              <w:top w:val="single" w:sz="4" w:space="0" w:color="000000"/>
              <w:left w:val="single" w:sz="4" w:space="0" w:color="000000"/>
              <w:bottom w:val="single" w:sz="4" w:space="0" w:color="000000"/>
              <w:right w:val="single" w:sz="4" w:space="0" w:color="000000"/>
            </w:tcBorders>
            <w:shd w:val="clear" w:color="000000" w:fill="FEEA83"/>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3,54%</w:t>
            </w:r>
          </w:p>
        </w:tc>
      </w:tr>
      <w:tr w:rsidR="006A4D59" w:rsidRPr="0067008A">
        <w:trPr>
          <w:trHeight w:val="220"/>
        </w:trPr>
        <w:tc>
          <w:tcPr>
            <w:tcW w:w="15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SOUTH PACIFIC INVESTORS LTD</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7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#¡DIV/0!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61" w:type="dxa"/>
            <w:tcBorders>
              <w:top w:val="single" w:sz="4" w:space="0" w:color="000000"/>
              <w:left w:val="single" w:sz="4" w:space="0" w:color="000000"/>
              <w:bottom w:val="single" w:sz="4" w:space="0" w:color="000000"/>
              <w:right w:val="single" w:sz="4" w:space="0" w:color="000000"/>
            </w:tcBorders>
            <w:shd w:val="clear" w:color="000000" w:fill="B8D780"/>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24,99%</w:t>
            </w:r>
          </w:p>
        </w:tc>
      </w:tr>
      <w:tr w:rsidR="006A4D59" w:rsidRPr="0067008A">
        <w:trPr>
          <w:trHeight w:val="220"/>
        </w:trPr>
        <w:tc>
          <w:tcPr>
            <w:tcW w:w="15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DE ADMINISTRACION DE INMUEBLE OASIS</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#¡DIV/0!</w:t>
            </w:r>
          </w:p>
        </w:tc>
        <w:tc>
          <w:tcPr>
            <w:tcW w:w="702" w:type="dxa"/>
            <w:tcBorders>
              <w:top w:val="single" w:sz="4" w:space="0" w:color="000000"/>
              <w:left w:val="single" w:sz="4" w:space="0" w:color="000000"/>
              <w:bottom w:val="single" w:sz="4" w:space="0" w:color="000000"/>
              <w:right w:val="single" w:sz="4" w:space="0" w:color="000000"/>
            </w:tcBorders>
            <w:shd w:val="clear" w:color="000000" w:fill="F8696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0,81%</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#¡DIV/0!</w:t>
            </w:r>
          </w:p>
        </w:tc>
        <w:tc>
          <w:tcPr>
            <w:tcW w:w="66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61" w:type="dxa"/>
            <w:tcBorders>
              <w:top w:val="single" w:sz="4" w:space="0" w:color="000000"/>
              <w:left w:val="single" w:sz="4" w:space="0" w:color="000000"/>
              <w:bottom w:val="single" w:sz="4" w:space="0" w:color="000000"/>
              <w:right w:val="single" w:sz="4" w:space="0" w:color="000000"/>
            </w:tcBorders>
            <w:shd w:val="clear" w:color="000000" w:fill="FDC67D"/>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2,61%</w:t>
            </w:r>
          </w:p>
        </w:tc>
      </w:tr>
      <w:tr w:rsidR="006A4D59" w:rsidRPr="0067008A">
        <w:trPr>
          <w:trHeight w:val="220"/>
        </w:trPr>
        <w:tc>
          <w:tcPr>
            <w:tcW w:w="15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DE ADMINISTRACION DE INMUEBLE BARANDUA III</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#¡DIV/0!</w:t>
            </w:r>
          </w:p>
        </w:tc>
        <w:tc>
          <w:tcPr>
            <w:tcW w:w="7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#¡DIV/0!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#¡DIV/0!</w:t>
            </w:r>
          </w:p>
        </w:tc>
        <w:tc>
          <w:tcPr>
            <w:tcW w:w="664" w:type="dxa"/>
            <w:tcBorders>
              <w:top w:val="single" w:sz="4" w:space="0" w:color="000000"/>
              <w:left w:val="single" w:sz="4" w:space="0" w:color="000000"/>
              <w:bottom w:val="single" w:sz="4" w:space="0" w:color="000000"/>
              <w:right w:val="single" w:sz="4" w:space="0" w:color="000000"/>
            </w:tcBorders>
            <w:shd w:val="clear" w:color="000000" w:fill="FDCF7E"/>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5,05%</w:t>
            </w: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61" w:type="dxa"/>
            <w:tcBorders>
              <w:top w:val="single" w:sz="4" w:space="0" w:color="000000"/>
              <w:left w:val="single" w:sz="4" w:space="0" w:color="000000"/>
              <w:bottom w:val="single" w:sz="4" w:space="0" w:color="000000"/>
              <w:right w:val="single" w:sz="4" w:space="0" w:color="000000"/>
            </w:tcBorders>
            <w:shd w:val="clear" w:color="000000" w:fill="F8E984"/>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5,93%</w:t>
            </w:r>
          </w:p>
        </w:tc>
      </w:tr>
      <w:tr w:rsidR="006A4D59" w:rsidRPr="0067008A">
        <w:trPr>
          <w:trHeight w:val="220"/>
        </w:trPr>
        <w:tc>
          <w:tcPr>
            <w:tcW w:w="15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LASSO ALCIVAR MARIA DE LOURDES</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7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shd w:val="clear" w:color="000000" w:fill="FFEB84"/>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5,73%</w:t>
            </w:r>
          </w:p>
        </w:tc>
        <w:tc>
          <w:tcPr>
            <w:tcW w:w="66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61" w:type="dxa"/>
            <w:tcBorders>
              <w:top w:val="single" w:sz="4" w:space="0" w:color="000000"/>
              <w:left w:val="single" w:sz="4" w:space="0" w:color="000000"/>
              <w:bottom w:val="single" w:sz="4" w:space="0" w:color="000000"/>
              <w:right w:val="single" w:sz="4" w:space="0" w:color="000000"/>
            </w:tcBorders>
            <w:shd w:val="clear" w:color="000000" w:fill="F8E984"/>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5,73%</w:t>
            </w:r>
          </w:p>
        </w:tc>
      </w:tr>
      <w:tr w:rsidR="006A4D59" w:rsidRPr="0067008A">
        <w:trPr>
          <w:trHeight w:val="220"/>
        </w:trPr>
        <w:tc>
          <w:tcPr>
            <w:tcW w:w="15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FIDEICOMISO ACTIVOS DOS MIL CUATRO</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#¡DIV/0!</w:t>
            </w:r>
          </w:p>
        </w:tc>
        <w:tc>
          <w:tcPr>
            <w:tcW w:w="7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#¡DIV/0!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#¡DIV/0!</w:t>
            </w:r>
          </w:p>
        </w:tc>
        <w:tc>
          <w:tcPr>
            <w:tcW w:w="664" w:type="dxa"/>
            <w:tcBorders>
              <w:top w:val="single" w:sz="4" w:space="0" w:color="000000"/>
              <w:left w:val="single" w:sz="4" w:space="0" w:color="000000"/>
              <w:bottom w:val="single" w:sz="4" w:space="0" w:color="000000"/>
              <w:right w:val="single" w:sz="4" w:space="0" w:color="000000"/>
            </w:tcBorders>
            <w:shd w:val="clear" w:color="000000" w:fill="F8696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0,24%</w:t>
            </w: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61" w:type="dxa"/>
            <w:tcBorders>
              <w:top w:val="single" w:sz="4" w:space="0" w:color="000000"/>
              <w:left w:val="single" w:sz="4" w:space="0" w:color="000000"/>
              <w:bottom w:val="single" w:sz="4" w:space="0" w:color="000000"/>
              <w:right w:val="single" w:sz="4" w:space="0" w:color="000000"/>
            </w:tcBorders>
            <w:shd w:val="clear" w:color="000000" w:fill="FBB078"/>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2,05%</w:t>
            </w:r>
          </w:p>
        </w:tc>
      </w:tr>
      <w:tr w:rsidR="006A4D59" w:rsidRPr="0067008A">
        <w:trPr>
          <w:trHeight w:val="220"/>
        </w:trPr>
        <w:tc>
          <w:tcPr>
            <w:tcW w:w="15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rPr>
                <w:rFonts w:ascii="Times New Roman" w:eastAsia="Times New Roman" w:hAnsi="Times New Roman" w:cs="Times New Roman"/>
              </w:rPr>
            </w:pPr>
            <w:r w:rsidRPr="0067008A">
              <w:rPr>
                <w:rFonts w:ascii="Times New Roman" w:eastAsia="Times New Roman" w:hAnsi="Times New Roman" w:cs="Times New Roman"/>
              </w:rPr>
              <w:t>GRUPO CORPORATIVO YOU YOUCORP S.A.</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702" w:type="dxa"/>
            <w:tcBorders>
              <w:top w:val="single" w:sz="4" w:space="0" w:color="000000"/>
              <w:left w:val="single" w:sz="4" w:space="0" w:color="000000"/>
              <w:bottom w:val="single" w:sz="4" w:space="0" w:color="000000"/>
              <w:right w:val="single" w:sz="4" w:space="0" w:color="000000"/>
            </w:tcBorders>
            <w:shd w:val="clear" w:color="000000" w:fill="F86B6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1,00%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6A4D59" w:rsidP="00677E33">
            <w:pPr>
              <w:spacing w:after="240" w:line="360" w:lineRule="auto"/>
              <w:jc w:val="center"/>
              <w:rPr>
                <w:rFonts w:ascii="Times New Roman" w:eastAsia="Times New Roman" w:hAnsi="Times New Roman" w:cs="Times New Roman"/>
              </w:rPr>
            </w:pPr>
          </w:p>
        </w:tc>
        <w:tc>
          <w:tcPr>
            <w:tcW w:w="661" w:type="dxa"/>
            <w:tcBorders>
              <w:top w:val="single" w:sz="4" w:space="0" w:color="000000"/>
              <w:left w:val="single" w:sz="4" w:space="0" w:color="000000"/>
              <w:bottom w:val="single" w:sz="4" w:space="0" w:color="000000"/>
              <w:right w:val="single" w:sz="4" w:space="0" w:color="000000"/>
            </w:tcBorders>
            <w:shd w:val="clear" w:color="000000" w:fill="F8696B"/>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0,20%</w:t>
            </w:r>
          </w:p>
        </w:tc>
      </w:tr>
      <w:tr w:rsidR="006A4D59" w:rsidRPr="0067008A">
        <w:trPr>
          <w:trHeight w:val="220"/>
        </w:trPr>
        <w:tc>
          <w:tcPr>
            <w:tcW w:w="1522" w:type="dxa"/>
            <w:tcBorders>
              <w:top w:val="single" w:sz="4" w:space="0" w:color="000000"/>
              <w:left w:val="single" w:sz="4" w:space="0" w:color="000000"/>
              <w:bottom w:val="single" w:sz="4" w:space="0" w:color="000000"/>
              <w:right w:val="single" w:sz="4" w:space="0" w:color="000000"/>
            </w:tcBorders>
            <w:shd w:val="clear" w:color="DCE6F1" w:fill="DCE6F1"/>
            <w:vAlign w:val="bottom"/>
          </w:tcPr>
          <w:p w:rsidR="006A4D59" w:rsidRPr="0067008A" w:rsidRDefault="00921711" w:rsidP="00677E33">
            <w:pPr>
              <w:spacing w:after="240" w:line="360" w:lineRule="auto"/>
              <w:rPr>
                <w:rFonts w:ascii="Times New Roman" w:eastAsia="Times New Roman" w:hAnsi="Times New Roman" w:cs="Times New Roman"/>
                <w:b/>
                <w:bCs/>
                <w:color w:val="000000"/>
              </w:rPr>
            </w:pPr>
            <w:r w:rsidRPr="0067008A">
              <w:rPr>
                <w:rFonts w:ascii="Times New Roman" w:eastAsia="Times New Roman" w:hAnsi="Times New Roman" w:cs="Times New Roman"/>
                <w:b/>
                <w:bCs/>
                <w:color w:val="000000"/>
              </w:rPr>
              <w:t>Total general</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2,00%</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2,10%</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2,38%</w:t>
            </w: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2,79%</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1,97%</w:t>
            </w: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3,35%</w:t>
            </w: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4,50%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2,73%</w:t>
            </w:r>
          </w:p>
        </w:tc>
        <w:tc>
          <w:tcPr>
            <w:tcW w:w="7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2,37%</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2,83%</w:t>
            </w:r>
          </w:p>
        </w:tc>
        <w:tc>
          <w:tcPr>
            <w:tcW w:w="66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4,85%</w:t>
            </w: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rPr>
            </w:pPr>
            <w:r w:rsidRPr="0067008A">
              <w:rPr>
                <w:rFonts w:ascii="Times New Roman" w:eastAsia="Times New Roman" w:hAnsi="Times New Roman" w:cs="Times New Roman"/>
              </w:rPr>
              <w:t>5,28%</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4D59" w:rsidRPr="0067008A" w:rsidRDefault="00921711" w:rsidP="00677E33">
            <w:pPr>
              <w:spacing w:after="240" w:line="360" w:lineRule="auto"/>
              <w:jc w:val="center"/>
              <w:rPr>
                <w:rFonts w:ascii="Times New Roman" w:eastAsia="Times New Roman" w:hAnsi="Times New Roman" w:cs="Times New Roman"/>
                <w:b/>
                <w:bCs/>
                <w:color w:val="FF0000"/>
              </w:rPr>
            </w:pPr>
            <w:r w:rsidRPr="0067008A">
              <w:rPr>
                <w:rFonts w:ascii="Times New Roman" w:eastAsia="Times New Roman" w:hAnsi="Times New Roman" w:cs="Times New Roman"/>
                <w:b/>
                <w:bCs/>
                <w:color w:val="FF0000"/>
              </w:rPr>
              <w:t>3,24%</w:t>
            </w:r>
          </w:p>
        </w:tc>
      </w:tr>
    </w:tbl>
    <w:p w:rsidR="006A4D59" w:rsidRPr="0067008A" w:rsidRDefault="00921711" w:rsidP="00677E33">
      <w:pPr>
        <w:spacing w:after="240" w:line="360" w:lineRule="auto"/>
        <w:rPr>
          <w:rFonts w:ascii="Times New Roman" w:hAnsi="Times New Roman" w:cs="Times New Roman"/>
        </w:rPr>
      </w:pPr>
      <w:r w:rsidRPr="0067008A">
        <w:rPr>
          <w:rFonts w:ascii="Times New Roman" w:hAnsi="Times New Roman" w:cs="Times New Roman"/>
        </w:rPr>
        <w:t>Fuente: (SRI 2021)</w:t>
      </w:r>
    </w:p>
    <w:p w:rsidR="006A4D59" w:rsidRPr="0067008A" w:rsidRDefault="006A4D59" w:rsidP="00677E33">
      <w:pPr>
        <w:spacing w:after="240" w:line="360" w:lineRule="auto"/>
        <w:jc w:val="both"/>
        <w:rPr>
          <w:rFonts w:ascii="Times New Roman" w:hAnsi="Times New Roman" w:cs="Times New Roman"/>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El banco de Guayaquil ha pagado en promedio durante el periodo indicado, un 3,01% de impuesto a la renta sobre sus ingresos; sin embargo, Guillermo Lasso Mendoza ha pagado un promedio, desde el año 2011, de 34,48%. Se nota que se trata de una estrategia en la cual el principal responsable del grupo económico puede, gracias a su pago de impuestos, proteger al banco y proteger a la Corporación MULTIBG S.A., para que su contribución sea mínima o casi inexistente. Se trata, como ya se había indicado, de una estrategia de planeación tributaria y de difuminación de gastos, con una estrategia de protección de cobertura a las empresas más importantes del grupo, gracias a que sus directivos presentan un porcentaje de pago de impuestos importante, comparado con sus propias empresas.</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Esta estrategia se convirtió también en una estrategia política y mediática. Los pagos de impuestos de Guillermo Lasso Mendoza, sirven como cobertura para encubrir e invisibilizar los pagos de las empresas más importantes del grupo económico Banco de Guayaquil.</w:t>
      </w:r>
    </w:p>
    <w:p w:rsidR="006A4D59" w:rsidRPr="0067008A" w:rsidRDefault="006A4D59" w:rsidP="00677E33">
      <w:pPr>
        <w:spacing w:after="240" w:line="360" w:lineRule="auto"/>
        <w:jc w:val="both"/>
        <w:rPr>
          <w:rFonts w:ascii="Times New Roman" w:hAnsi="Times New Roman" w:cs="Times New Roman"/>
          <w:b/>
        </w:rPr>
      </w:pPr>
    </w:p>
    <w:p w:rsidR="006A4D59" w:rsidRPr="0067008A" w:rsidRDefault="00921711" w:rsidP="00677E33">
      <w:pPr>
        <w:spacing w:after="240" w:line="360" w:lineRule="auto"/>
        <w:jc w:val="both"/>
        <w:rPr>
          <w:rFonts w:ascii="Times New Roman" w:hAnsi="Times New Roman" w:cs="Times New Roman"/>
          <w:b/>
        </w:rPr>
      </w:pPr>
      <w:r w:rsidRPr="0067008A">
        <w:rPr>
          <w:rFonts w:ascii="Times New Roman" w:hAnsi="Times New Roman" w:cs="Times New Roman"/>
          <w:b/>
        </w:rPr>
        <w:t>Conclusiones del análisis realizado</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El grupo económico Banco de Guayaquil, como ha sido denominado por el servicio de rentas internas del Ecuador (SRI 2021), comienza a estructurarse a inicios de los años ochenta del siglo pasado, y en medio de la transición del modelo de sustitución de importaciones, hacia un nuevo esquema económico caracterizado por el ajuste fiscal, la imposición de políticas recesivas de desindustrialización, las devaluaciones de la moneda, el incremento de las tasas de interés, y un ambiente de convulsión social. En 1982 empieza el proceso de sucretización de las deudas externas asumidas por el sector privado. Es en ese contexto que Carlos Lasso Mendoza constituye las empresas CREDICORP S.A. y MEGACORP S.A., y Roger Arosemena Benites aparece como principal representante de ICENTRO Inversiones del Centro S.A.</w:t>
      </w:r>
    </w:p>
    <w:p w:rsidR="006A4D59" w:rsidRPr="0067008A" w:rsidRDefault="006A4D59" w:rsidP="00677E33">
      <w:pPr>
        <w:spacing w:after="240" w:line="360" w:lineRule="auto"/>
        <w:jc w:val="both"/>
        <w:rPr>
          <w:rFonts w:ascii="Times New Roman" w:hAnsi="Times New Roman" w:cs="Times New Roman"/>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En 1986, estas empresas prácticamente absorben a FIDUCIASUR S.A., pero mantienen sus propios nombres. En 1992 se produce el proceso de fusión por absorción de las empresas mencionadas con FIDUCIASUR S.A. y el cambio de denominación a CORPORACIÓN MULTIBG S.A. En esta oportunidad aparece ya el nombre de Guillermo Lasso Mendoza como accionista Agrícola GLM como parte de los accionistas principales de la CORPORACIÓN MULTIBG S.A. Para 1994, se había constituido por parte de Guillermo Lasso Mendoza la off shore ANDEAN</w:t>
      </w:r>
      <w:r w:rsidR="00677E33" w:rsidRPr="0067008A">
        <w:rPr>
          <w:rFonts w:ascii="Times New Roman" w:hAnsi="Times New Roman" w:cs="Times New Roman"/>
        </w:rPr>
        <w:t xml:space="preserve"> </w:t>
      </w:r>
      <w:r w:rsidRPr="0067008A">
        <w:rPr>
          <w:rFonts w:ascii="Times New Roman" w:hAnsi="Times New Roman" w:cs="Times New Roman"/>
        </w:rPr>
        <w:t>INVESTMENT LTD, quien asume la representación y la propiedad de las acciones de la CORPORACIÓN MULTIBG S.A. Para ese entonces, la CORPORACIÓN MULTIBG S.A. aparece ya como accionista del Banco de Guayaquil.</w:t>
      </w:r>
    </w:p>
    <w:p w:rsidR="006A4D59" w:rsidRPr="0067008A" w:rsidRDefault="006A4D59" w:rsidP="00677E33">
      <w:pPr>
        <w:spacing w:after="240" w:line="360" w:lineRule="auto"/>
        <w:jc w:val="both"/>
        <w:rPr>
          <w:rFonts w:ascii="Times New Roman" w:hAnsi="Times New Roman" w:cs="Times New Roman"/>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Los años noventa del siglo pasado son los años de la mayor radicalización de los programas de ajuste económico del FMI y del Banco Mundial. El proceso de transformación de la compañía FIDUCIASUR S.A. en CORPORACIÓN MULTIBG S.A. se produce al inicio del gobierno de Sixto Durán Ballén, quien era partidario de la liberalización del sistema financiero privado. La década de los años noventa es la época de oro del Banco de Guayaquil y de la CORPORACIÓN MULTIBG S.A. Sus activos se incrementan de manera importante, y van delante de la devaluación monetaria y de la inflación de esos años. Las políticas de liberalización y desregulación financiera, provocan que el Banco de Guayaquil cree su primera off shore, Guayaquil Bank &amp; Trust Co Ltd en la Colonia de Monserrat de British West Indians. En el año 2007, el grupo creará el Banco de Guayaquil-Panamá.</w:t>
      </w:r>
    </w:p>
    <w:p w:rsidR="006A4D59" w:rsidRPr="0067008A" w:rsidRDefault="006A4D59" w:rsidP="00677E33">
      <w:pPr>
        <w:spacing w:after="240" w:line="360" w:lineRule="auto"/>
        <w:jc w:val="both"/>
        <w:rPr>
          <w:rFonts w:ascii="Times New Roman" w:hAnsi="Times New Roman" w:cs="Times New Roman"/>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La crisis financiera-bancaria-monetaria de 1999-2000, que condujo a la dolarización de la economía, permitió que la CORPORACIÓN MULTIBG S.A. multiplique su capital social y sus inversiones, gracias a la intervención en el mercado de los certificados reprogramables emitidos por las autoridades económicas de ese entonces para resolver la crisis bancaria y financiera de 1999, la CORPORACIÓN MULTIBG S.A., solicita el 3 de julio de 2002, ampliar su capital autorizado a 66.000.000 USD, y su capital suscrito y pagado a 30.872.000 USD (Notaría 35 2002). La intervención de la CORPORACIÓN MULTIBG S.A.,</w:t>
      </w:r>
      <w:r w:rsidR="00677E33" w:rsidRPr="0067008A">
        <w:rPr>
          <w:rFonts w:ascii="Times New Roman" w:hAnsi="Times New Roman" w:cs="Times New Roman"/>
        </w:rPr>
        <w:t xml:space="preserve"> </w:t>
      </w:r>
      <w:r w:rsidRPr="0067008A">
        <w:rPr>
          <w:rFonts w:ascii="Times New Roman" w:hAnsi="Times New Roman" w:cs="Times New Roman"/>
        </w:rPr>
        <w:t>en el mercado monetario y financiero, le permite capitalizar las cuentas de reservas por 21.731.307 USD, obtener utilidades netas por 810.505 USD, y compensaciones de créditos por 8.066.086 USD. Todas estas operaciones están vinculadas a los certificados de depósitos reprogramables (CDR) que el gobierno de ese entonces emitió para los acreedores de la banca privada que habían sido intervenidos por las autoridades de control. MULTIBG S.A. actuó como interfaz entre el Banco de Guayaquil y los poseedores de los CDR emitidos por el gobierno de ese entonces.</w:t>
      </w:r>
    </w:p>
    <w:p w:rsidR="006A4D59" w:rsidRPr="0067008A" w:rsidRDefault="006A4D59" w:rsidP="00677E33">
      <w:pPr>
        <w:spacing w:after="240" w:line="360" w:lineRule="auto"/>
        <w:jc w:val="both"/>
        <w:rPr>
          <w:rFonts w:ascii="Times New Roman" w:hAnsi="Times New Roman" w:cs="Times New Roman"/>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Los años de la dolarización son los años de la expansión tanto de la CORPORACIÓN MULTIBG S.A., cuanto del Banco de Guayaquil. Se convierte en uno de los bancos más importantes del país y de la costa ecuatoriana. Es el sobreviviente de la crisis financiera y monetaria de 1999-2000, y permite que los capitales de la costa vinculados a la agroexportación e importación se integren a sus dinámicas financieras.</w:t>
      </w:r>
    </w:p>
    <w:p w:rsidR="006A4D59" w:rsidRPr="0067008A" w:rsidRDefault="006A4D59" w:rsidP="00677E33">
      <w:pPr>
        <w:spacing w:after="240" w:line="360" w:lineRule="auto"/>
        <w:jc w:val="both"/>
        <w:rPr>
          <w:rFonts w:ascii="Times New Roman" w:hAnsi="Times New Roman" w:cs="Times New Roman"/>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Las altas tasas de interés en dólares y los altos costos de servicios financieros y bancarios, posibilitan la expansión del Banco y, al mismo tiempo, de la CORPORACIÓN MULTIBG S.A. Sin embargo, este grupo económico, gracias a su director principal Guillermo Lasso Mendoza, ha tenido una importante presencia política en el sistema político ecuatoriano. En plena crisis, Guillermo Lasso Mendoza fue nombrado “super” ministro de economía del gobierno de Jamil Mahuad. Durante el periodo 2007-2016, Guillermo Lasso Mendoza se convirtió en uno de los personajes políticos más importantes por su decidida oposición al gobierno de ese entonces, presidido por el Econ. Rafael Correa. Esa importante participación en la vida pública, le permitió al principal responsable del grupo económico Banco de Guayaquil, Guillermo Lasso Mendoza, participar como candidato presidencial en tres oportunidades: en el año 2013, en el 2017 y en el 2021. En esta última oportunidad pudo ganar las elecciones y convertirse en presidente de la República.</w:t>
      </w:r>
    </w:p>
    <w:p w:rsidR="006A4D59" w:rsidRPr="0067008A" w:rsidRDefault="006A4D59" w:rsidP="00677E33">
      <w:pPr>
        <w:spacing w:after="240" w:line="360" w:lineRule="auto"/>
        <w:jc w:val="both"/>
        <w:rPr>
          <w:rFonts w:ascii="Times New Roman" w:hAnsi="Times New Roman" w:cs="Times New Roman"/>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La filtración de los Pandora Papers, en pleno contexto de crisis política, producto de la falta de gobernabilidad que caracteriza a los primeros meses de la presidencia de Guillermo Lasso Mendoza, alteran de forma trascendente sus propias condiciones de gobernabilidad porque demuestra que su relación con el sistema financiero privado le impediría la participación en las últimas elecciones.</w:t>
      </w:r>
    </w:p>
    <w:p w:rsidR="006A4D59" w:rsidRPr="0067008A" w:rsidRDefault="006A4D59" w:rsidP="00677E33">
      <w:pPr>
        <w:spacing w:after="240" w:line="360" w:lineRule="auto"/>
        <w:jc w:val="both"/>
        <w:rPr>
          <w:rFonts w:ascii="Times New Roman" w:hAnsi="Times New Roman" w:cs="Times New Roman"/>
        </w:rPr>
      </w:pPr>
    </w:p>
    <w:p w:rsidR="006A4D59" w:rsidRPr="0067008A" w:rsidRDefault="00921711" w:rsidP="00677E33">
      <w:pPr>
        <w:pStyle w:val="Ttulo1"/>
        <w:spacing w:before="0" w:after="240" w:line="360" w:lineRule="auto"/>
        <w:rPr>
          <w:rFonts w:ascii="Times New Roman" w:hAnsi="Times New Roman" w:cs="Times New Roman"/>
          <w:sz w:val="22"/>
          <w:szCs w:val="22"/>
        </w:rPr>
      </w:pPr>
      <w:r w:rsidRPr="0067008A">
        <w:rPr>
          <w:rFonts w:ascii="Times New Roman" w:hAnsi="Times New Roman" w:cs="Times New Roman"/>
          <w:sz w:val="22"/>
          <w:szCs w:val="22"/>
          <w:lang w:val="es-ES"/>
        </w:rPr>
        <w:t>Material bibliográfico utilizado en esta parte del análisis</w:t>
      </w:r>
    </w:p>
    <w:p w:rsidR="006A4D59" w:rsidRPr="0067008A" w:rsidRDefault="00921711" w:rsidP="00677E33">
      <w:pPr>
        <w:pStyle w:val="Bibliografa"/>
        <w:spacing w:after="240" w:line="360" w:lineRule="auto"/>
        <w:ind w:left="709" w:hanging="709"/>
        <w:jc w:val="both"/>
        <w:rPr>
          <w:rFonts w:ascii="Times New Roman" w:hAnsi="Times New Roman" w:cs="Times New Roman"/>
          <w:sz w:val="22"/>
          <w:szCs w:val="22"/>
          <w:lang w:val="es-ES"/>
        </w:rPr>
      </w:pPr>
      <w:r w:rsidRPr="0067008A">
        <w:rPr>
          <w:rFonts w:ascii="Times New Roman" w:hAnsi="Times New Roman" w:cs="Times New Roman"/>
          <w:sz w:val="22"/>
          <w:szCs w:val="22"/>
          <w:lang w:val="es-ES"/>
        </w:rPr>
        <w:t xml:space="preserve">SRI. «Grupos Económicos y su relación con los paraísos fiscales y los Panamá Papers.» </w:t>
      </w:r>
      <w:r w:rsidRPr="0067008A">
        <w:rPr>
          <w:rFonts w:ascii="Times New Roman" w:hAnsi="Times New Roman" w:cs="Times New Roman"/>
          <w:i/>
          <w:iCs/>
          <w:sz w:val="22"/>
          <w:szCs w:val="22"/>
          <w:lang w:val="es-ES"/>
        </w:rPr>
        <w:t>SRI Grupos Económicos.</w:t>
      </w:r>
      <w:r w:rsidRPr="0067008A">
        <w:rPr>
          <w:rFonts w:ascii="Times New Roman" w:hAnsi="Times New Roman" w:cs="Times New Roman"/>
          <w:sz w:val="22"/>
          <w:szCs w:val="22"/>
          <w:lang w:val="es-ES"/>
        </w:rPr>
        <w:t xml:space="preserve"> sept de 2021. https://www.sri.gob.ec/grupos-economicos1 (último acceso: 30 de oct de 2021).</w:t>
      </w:r>
    </w:p>
    <w:p w:rsidR="006A4D59" w:rsidRPr="0067008A" w:rsidRDefault="00921711" w:rsidP="00677E33">
      <w:pPr>
        <w:pStyle w:val="Bibliografa"/>
        <w:spacing w:after="240" w:line="360" w:lineRule="auto"/>
        <w:ind w:left="709" w:hanging="709"/>
        <w:jc w:val="both"/>
        <w:rPr>
          <w:rFonts w:ascii="Times New Roman" w:hAnsi="Times New Roman" w:cs="Times New Roman"/>
          <w:sz w:val="22"/>
          <w:szCs w:val="22"/>
          <w:lang w:val="es-ES"/>
        </w:rPr>
      </w:pPr>
      <w:r w:rsidRPr="0067008A">
        <w:rPr>
          <w:rFonts w:ascii="Times New Roman" w:hAnsi="Times New Roman" w:cs="Times New Roman"/>
          <w:sz w:val="22"/>
          <w:szCs w:val="22"/>
          <w:lang w:val="es-ES"/>
        </w:rPr>
        <w:t>CORPORACION MULTIBG S.A. «Informe a la Junta General de Accionistas del Banco de Guayaquil.» Informe, Banco de Guayaquil, Guayaquil, 2011.</w:t>
      </w:r>
    </w:p>
    <w:p w:rsidR="006A4D59" w:rsidRPr="0067008A" w:rsidRDefault="00921711" w:rsidP="00677E33">
      <w:pPr>
        <w:pStyle w:val="Bibliografa"/>
        <w:spacing w:after="240" w:line="360" w:lineRule="auto"/>
        <w:ind w:left="709" w:hanging="709"/>
        <w:jc w:val="both"/>
        <w:rPr>
          <w:rFonts w:ascii="Times New Roman" w:hAnsi="Times New Roman" w:cs="Times New Roman"/>
          <w:sz w:val="22"/>
          <w:szCs w:val="22"/>
          <w:lang w:val="es-ES"/>
        </w:rPr>
      </w:pPr>
      <w:r w:rsidRPr="0067008A">
        <w:rPr>
          <w:rFonts w:ascii="Times New Roman" w:hAnsi="Times New Roman" w:cs="Times New Roman"/>
          <w:sz w:val="22"/>
          <w:szCs w:val="22"/>
          <w:lang w:val="es-ES"/>
        </w:rPr>
        <w:t xml:space="preserve">Superintendencia de Bancos. «Boletín Financiero Mensuales.» </w:t>
      </w:r>
      <w:r w:rsidRPr="0067008A">
        <w:rPr>
          <w:rFonts w:ascii="Times New Roman" w:hAnsi="Times New Roman" w:cs="Times New Roman"/>
          <w:i/>
          <w:iCs/>
          <w:sz w:val="22"/>
          <w:szCs w:val="22"/>
          <w:lang w:val="es-ES"/>
        </w:rPr>
        <w:t>Portal Estadístico Superintendencia de Bancos.</w:t>
      </w:r>
      <w:r w:rsidRPr="0067008A">
        <w:rPr>
          <w:rFonts w:ascii="Times New Roman" w:hAnsi="Times New Roman" w:cs="Times New Roman"/>
          <w:sz w:val="22"/>
          <w:szCs w:val="22"/>
          <w:lang w:val="es-ES"/>
        </w:rPr>
        <w:t xml:space="preserve"> sept de 2021. https://estadisticas.superbancos.gob.ec/portalestadistico/portalestudios/?page_id=329 (último acceso: 30 de oct de 2021).</w:t>
      </w:r>
    </w:p>
    <w:p w:rsidR="006A4D59" w:rsidRPr="0067008A" w:rsidRDefault="00921711" w:rsidP="00677E33">
      <w:pPr>
        <w:pStyle w:val="Bibliografa"/>
        <w:spacing w:after="240" w:line="360" w:lineRule="auto"/>
        <w:ind w:left="709" w:hanging="709"/>
        <w:jc w:val="both"/>
        <w:rPr>
          <w:rFonts w:ascii="Times New Roman" w:hAnsi="Times New Roman" w:cs="Times New Roman"/>
          <w:sz w:val="22"/>
          <w:szCs w:val="22"/>
          <w:lang w:val="es-ES"/>
        </w:rPr>
      </w:pPr>
      <w:r w:rsidRPr="0067008A">
        <w:rPr>
          <w:rFonts w:ascii="Times New Roman" w:hAnsi="Times New Roman" w:cs="Times New Roman"/>
          <w:sz w:val="22"/>
          <w:szCs w:val="22"/>
          <w:lang w:val="es-ES"/>
        </w:rPr>
        <w:t xml:space="preserve">Superintendencia de Compañías. </w:t>
      </w:r>
      <w:r w:rsidRPr="0067008A">
        <w:rPr>
          <w:rFonts w:ascii="Times New Roman" w:hAnsi="Times New Roman" w:cs="Times New Roman"/>
          <w:i/>
          <w:iCs/>
          <w:sz w:val="22"/>
          <w:szCs w:val="22"/>
          <w:lang w:val="es-ES"/>
        </w:rPr>
        <w:t>Archivo Digital Societario Corporación MULTIBG S.A.</w:t>
      </w:r>
      <w:r w:rsidRPr="0067008A">
        <w:rPr>
          <w:rFonts w:ascii="Times New Roman" w:hAnsi="Times New Roman" w:cs="Times New Roman"/>
          <w:sz w:val="22"/>
          <w:szCs w:val="22"/>
          <w:lang w:val="es-ES"/>
        </w:rPr>
        <w:t xml:space="preserve"> Archivo Digital, Quito: Superintendencia de Compañías, 2021.</w:t>
      </w:r>
    </w:p>
    <w:p w:rsidR="006A4D59" w:rsidRPr="0067008A" w:rsidRDefault="00921711" w:rsidP="00677E33">
      <w:pPr>
        <w:pStyle w:val="Bibliografa"/>
        <w:spacing w:after="240" w:line="360" w:lineRule="auto"/>
        <w:ind w:left="709" w:hanging="709"/>
        <w:jc w:val="both"/>
        <w:rPr>
          <w:rFonts w:ascii="Times New Roman" w:hAnsi="Times New Roman" w:cs="Times New Roman"/>
          <w:sz w:val="22"/>
          <w:szCs w:val="22"/>
          <w:lang w:val="es-ES"/>
        </w:rPr>
      </w:pPr>
      <w:r w:rsidRPr="0067008A">
        <w:rPr>
          <w:rFonts w:ascii="Times New Roman" w:hAnsi="Times New Roman" w:cs="Times New Roman"/>
          <w:sz w:val="22"/>
          <w:szCs w:val="22"/>
          <w:lang w:val="es-ES"/>
        </w:rPr>
        <w:t>Notaría 27. «Contrato de Constitución de la Compañía anónima denominada "FIDUCIASUR S.A.".» Minuta, Notaría 27, Guayaquil, 1981.</w:t>
      </w:r>
    </w:p>
    <w:p w:rsidR="006A4D59" w:rsidRPr="0067008A" w:rsidRDefault="00921711" w:rsidP="00677E33">
      <w:pPr>
        <w:pStyle w:val="Bibliografa"/>
        <w:spacing w:after="240" w:line="360" w:lineRule="auto"/>
        <w:ind w:left="709" w:hanging="709"/>
        <w:jc w:val="both"/>
        <w:rPr>
          <w:rFonts w:ascii="Times New Roman" w:hAnsi="Times New Roman" w:cs="Times New Roman"/>
          <w:sz w:val="22"/>
          <w:szCs w:val="22"/>
          <w:lang w:val="es-ES"/>
        </w:rPr>
      </w:pPr>
      <w:r w:rsidRPr="0067008A">
        <w:rPr>
          <w:rFonts w:ascii="Times New Roman" w:hAnsi="Times New Roman" w:cs="Times New Roman"/>
          <w:sz w:val="22"/>
          <w:szCs w:val="22"/>
          <w:lang w:val="es-ES"/>
        </w:rPr>
        <w:t>Notaría 30. «Aumento de capital y codificación integral de los estatutos de la Compañía "FIDUCIASUR S.A.".» Minuta, Guayaquil, 1986.</w:t>
      </w:r>
    </w:p>
    <w:p w:rsidR="006A4D59" w:rsidRPr="0067008A" w:rsidRDefault="00921711" w:rsidP="00677E33">
      <w:pPr>
        <w:pStyle w:val="Bibliografa"/>
        <w:spacing w:after="240" w:line="360" w:lineRule="auto"/>
        <w:ind w:left="709" w:hanging="709"/>
        <w:jc w:val="both"/>
        <w:rPr>
          <w:rFonts w:ascii="Times New Roman" w:hAnsi="Times New Roman" w:cs="Times New Roman"/>
          <w:sz w:val="22"/>
          <w:szCs w:val="22"/>
          <w:lang w:val="es-ES"/>
        </w:rPr>
      </w:pPr>
      <w:r w:rsidRPr="0067008A">
        <w:rPr>
          <w:rFonts w:ascii="Times New Roman" w:hAnsi="Times New Roman" w:cs="Times New Roman"/>
          <w:sz w:val="22"/>
          <w:szCs w:val="22"/>
          <w:lang w:val="es-ES"/>
        </w:rPr>
        <w:t xml:space="preserve">Notaría 30. </w:t>
      </w:r>
      <w:r w:rsidRPr="0067008A">
        <w:rPr>
          <w:rFonts w:ascii="Times New Roman" w:hAnsi="Times New Roman" w:cs="Times New Roman"/>
          <w:i/>
          <w:iCs/>
          <w:sz w:val="22"/>
          <w:szCs w:val="22"/>
          <w:lang w:val="es-ES"/>
        </w:rPr>
        <w:t>Aumento de capital y reforma de estatutos de la Compañía FIDUCIASUR S.A.</w:t>
      </w:r>
      <w:r w:rsidRPr="0067008A">
        <w:rPr>
          <w:rFonts w:ascii="Times New Roman" w:hAnsi="Times New Roman" w:cs="Times New Roman"/>
          <w:sz w:val="22"/>
          <w:szCs w:val="22"/>
          <w:lang w:val="es-ES"/>
        </w:rPr>
        <w:t xml:space="preserve"> Minuta, Guayaquil: Notaría 30, 1989.</w:t>
      </w:r>
    </w:p>
    <w:p w:rsidR="006A4D59" w:rsidRPr="0067008A" w:rsidRDefault="00921711" w:rsidP="00677E33">
      <w:pPr>
        <w:pStyle w:val="Bibliografa"/>
        <w:spacing w:after="240" w:line="360" w:lineRule="auto"/>
        <w:ind w:left="709" w:hanging="709"/>
        <w:jc w:val="both"/>
        <w:rPr>
          <w:rFonts w:ascii="Times New Roman" w:hAnsi="Times New Roman" w:cs="Times New Roman"/>
          <w:sz w:val="22"/>
          <w:szCs w:val="22"/>
          <w:lang w:val="es-ES"/>
        </w:rPr>
      </w:pPr>
      <w:r w:rsidRPr="0067008A">
        <w:rPr>
          <w:rFonts w:ascii="Times New Roman" w:hAnsi="Times New Roman" w:cs="Times New Roman"/>
          <w:sz w:val="22"/>
          <w:szCs w:val="22"/>
          <w:lang w:val="es-ES"/>
        </w:rPr>
        <w:t xml:space="preserve">Notaría 13. </w:t>
      </w:r>
      <w:r w:rsidRPr="0067008A">
        <w:rPr>
          <w:rFonts w:ascii="Times New Roman" w:hAnsi="Times New Roman" w:cs="Times New Roman"/>
          <w:i/>
          <w:iCs/>
          <w:sz w:val="22"/>
          <w:szCs w:val="22"/>
          <w:lang w:val="es-ES"/>
        </w:rPr>
        <w:t>Fusión por absorción que celebran las compañías Fiduciasur S.A., CREDICORP S.A., MEGACORP S.A., e ICENTRO Inversiones del Centro, reforma integral y codificación del estatuto social, aumento de capital y cambio de denominación de la compañía fiduciasur S.A. por la de Corporación MULTIBG S.A.</w:t>
      </w:r>
      <w:r w:rsidRPr="0067008A">
        <w:rPr>
          <w:rFonts w:ascii="Times New Roman" w:hAnsi="Times New Roman" w:cs="Times New Roman"/>
          <w:sz w:val="22"/>
          <w:szCs w:val="22"/>
          <w:lang w:val="es-ES"/>
        </w:rPr>
        <w:t xml:space="preserve"> Minuta, Guayaquil: Notaría 13, 1992.</w:t>
      </w:r>
    </w:p>
    <w:p w:rsidR="006A4D59" w:rsidRPr="0067008A" w:rsidRDefault="00921711" w:rsidP="00677E33">
      <w:pPr>
        <w:pStyle w:val="Bibliografa"/>
        <w:spacing w:after="240" w:line="360" w:lineRule="auto"/>
        <w:ind w:left="709" w:hanging="709"/>
        <w:jc w:val="both"/>
        <w:rPr>
          <w:rFonts w:ascii="Times New Roman" w:hAnsi="Times New Roman" w:cs="Times New Roman"/>
          <w:sz w:val="22"/>
          <w:szCs w:val="22"/>
          <w:lang w:val="es-ES"/>
        </w:rPr>
      </w:pPr>
      <w:r w:rsidRPr="0067008A">
        <w:rPr>
          <w:rFonts w:ascii="Times New Roman" w:hAnsi="Times New Roman" w:cs="Times New Roman"/>
          <w:sz w:val="22"/>
          <w:szCs w:val="22"/>
          <w:lang w:val="es-ES"/>
        </w:rPr>
        <w:t xml:space="preserve">Notaría 2. </w:t>
      </w:r>
      <w:r w:rsidRPr="0067008A">
        <w:rPr>
          <w:rFonts w:ascii="Times New Roman" w:hAnsi="Times New Roman" w:cs="Times New Roman"/>
          <w:i/>
          <w:iCs/>
          <w:sz w:val="22"/>
          <w:szCs w:val="22"/>
          <w:lang w:val="es-ES"/>
        </w:rPr>
        <w:t>Aumento de capital y reforma de estatutos de la Corporación MULTIBG S.A.</w:t>
      </w:r>
      <w:r w:rsidRPr="0067008A">
        <w:rPr>
          <w:rFonts w:ascii="Times New Roman" w:hAnsi="Times New Roman" w:cs="Times New Roman"/>
          <w:sz w:val="22"/>
          <w:szCs w:val="22"/>
          <w:lang w:val="es-ES"/>
        </w:rPr>
        <w:t xml:space="preserve"> Minuta, Guayaquil: Notaría 2, 1994.</w:t>
      </w:r>
    </w:p>
    <w:p w:rsidR="006A4D59" w:rsidRPr="0067008A" w:rsidRDefault="00921711" w:rsidP="00677E33">
      <w:pPr>
        <w:pStyle w:val="Bibliografa"/>
        <w:spacing w:after="240" w:line="360" w:lineRule="auto"/>
        <w:ind w:left="709" w:hanging="709"/>
        <w:jc w:val="both"/>
        <w:rPr>
          <w:rFonts w:ascii="Times New Roman" w:hAnsi="Times New Roman" w:cs="Times New Roman"/>
          <w:sz w:val="22"/>
          <w:szCs w:val="22"/>
          <w:lang w:val="es-ES"/>
        </w:rPr>
      </w:pPr>
      <w:r w:rsidRPr="0067008A">
        <w:rPr>
          <w:rFonts w:ascii="Times New Roman" w:hAnsi="Times New Roman" w:cs="Times New Roman"/>
          <w:sz w:val="22"/>
          <w:szCs w:val="22"/>
          <w:lang w:val="es-ES"/>
        </w:rPr>
        <w:t xml:space="preserve">Notaría 35. </w:t>
      </w:r>
      <w:r w:rsidRPr="0067008A">
        <w:rPr>
          <w:rFonts w:ascii="Times New Roman" w:hAnsi="Times New Roman" w:cs="Times New Roman"/>
          <w:i/>
          <w:iCs/>
          <w:sz w:val="22"/>
          <w:szCs w:val="22"/>
          <w:lang w:val="es-ES"/>
        </w:rPr>
        <w:t>Escritura 0961. Conversión de sucres a dólares y reforma de estatutos de la Corporación MULTIBG S.A.</w:t>
      </w:r>
      <w:r w:rsidRPr="0067008A">
        <w:rPr>
          <w:rFonts w:ascii="Times New Roman" w:hAnsi="Times New Roman" w:cs="Times New Roman"/>
          <w:sz w:val="22"/>
          <w:szCs w:val="22"/>
          <w:lang w:val="es-ES"/>
        </w:rPr>
        <w:t xml:space="preserve"> Escritura Pública, Guayaquil: Notaría 35, 2001.</w:t>
      </w:r>
    </w:p>
    <w:p w:rsidR="006A4D59" w:rsidRPr="0067008A" w:rsidRDefault="00921711" w:rsidP="00677E33">
      <w:pPr>
        <w:pStyle w:val="Bibliografa"/>
        <w:spacing w:after="240" w:line="360" w:lineRule="auto"/>
        <w:ind w:left="709" w:hanging="709"/>
        <w:jc w:val="both"/>
        <w:rPr>
          <w:rFonts w:ascii="Times New Roman" w:hAnsi="Times New Roman" w:cs="Times New Roman"/>
          <w:sz w:val="22"/>
          <w:szCs w:val="22"/>
          <w:lang w:val="es-ES"/>
        </w:rPr>
      </w:pPr>
      <w:r w:rsidRPr="0067008A">
        <w:rPr>
          <w:rFonts w:ascii="Times New Roman" w:hAnsi="Times New Roman" w:cs="Times New Roman"/>
          <w:sz w:val="22"/>
          <w:szCs w:val="22"/>
          <w:lang w:val="es-ES"/>
        </w:rPr>
        <w:t>Notaría 35. «Escritura 1122 Aumento de capital, fijación del capital autorizado y reforma del estatuto social de la compañía Corporación MULTIBG S.A.» Escritura Pública, Guayaquil, 2002.</w:t>
      </w:r>
    </w:p>
    <w:p w:rsidR="006A4D59" w:rsidRPr="0067008A" w:rsidRDefault="00921711" w:rsidP="00677E33">
      <w:pPr>
        <w:pStyle w:val="Bibliografa"/>
        <w:spacing w:after="240" w:line="360" w:lineRule="auto"/>
        <w:ind w:left="709" w:hanging="709"/>
        <w:jc w:val="both"/>
        <w:rPr>
          <w:rFonts w:ascii="Times New Roman" w:hAnsi="Times New Roman" w:cs="Times New Roman"/>
          <w:sz w:val="22"/>
          <w:szCs w:val="22"/>
          <w:lang w:val="es-ES"/>
        </w:rPr>
      </w:pPr>
      <w:r w:rsidRPr="0067008A">
        <w:rPr>
          <w:rFonts w:ascii="Times New Roman" w:hAnsi="Times New Roman" w:cs="Times New Roman"/>
          <w:sz w:val="22"/>
          <w:szCs w:val="22"/>
          <w:lang w:val="es-ES"/>
        </w:rPr>
        <w:t xml:space="preserve">Notaría 35. </w:t>
      </w:r>
      <w:r w:rsidRPr="0067008A">
        <w:rPr>
          <w:rFonts w:ascii="Times New Roman" w:hAnsi="Times New Roman" w:cs="Times New Roman"/>
          <w:i/>
          <w:iCs/>
          <w:sz w:val="22"/>
          <w:szCs w:val="22"/>
          <w:lang w:val="es-ES"/>
        </w:rPr>
        <w:t>Escritura 2926.</w:t>
      </w:r>
      <w:r w:rsidRPr="0067008A">
        <w:rPr>
          <w:rFonts w:ascii="Times New Roman" w:hAnsi="Times New Roman" w:cs="Times New Roman"/>
          <w:sz w:val="22"/>
          <w:szCs w:val="22"/>
          <w:lang w:val="es-ES"/>
        </w:rPr>
        <w:t xml:space="preserve"> Escritura Pública, Aumento de capital y reforma del estatuto social de la compañía Corporación MULTIBG S.A., Guayaquil: Notaría 35, 2005.</w:t>
      </w:r>
    </w:p>
    <w:p w:rsidR="006A4D59" w:rsidRPr="0067008A" w:rsidRDefault="00921711" w:rsidP="00677E33">
      <w:pPr>
        <w:pStyle w:val="Bibliografa"/>
        <w:spacing w:after="240" w:line="360" w:lineRule="auto"/>
        <w:ind w:left="709" w:hanging="709"/>
        <w:jc w:val="both"/>
        <w:rPr>
          <w:rFonts w:ascii="Times New Roman" w:hAnsi="Times New Roman" w:cs="Times New Roman"/>
          <w:sz w:val="22"/>
          <w:szCs w:val="22"/>
          <w:lang w:val="es-ES"/>
        </w:rPr>
      </w:pPr>
      <w:r w:rsidRPr="0067008A">
        <w:rPr>
          <w:rFonts w:ascii="Times New Roman" w:hAnsi="Times New Roman" w:cs="Times New Roman"/>
          <w:sz w:val="22"/>
          <w:szCs w:val="22"/>
          <w:lang w:val="es-ES"/>
        </w:rPr>
        <w:t xml:space="preserve">CORPORACIÓN MULTIBG S.A. </w:t>
      </w:r>
      <w:r w:rsidRPr="0067008A">
        <w:rPr>
          <w:rFonts w:ascii="Times New Roman" w:hAnsi="Times New Roman" w:cs="Times New Roman"/>
          <w:i/>
          <w:iCs/>
          <w:sz w:val="22"/>
          <w:szCs w:val="22"/>
          <w:lang w:val="es-ES"/>
        </w:rPr>
        <w:t>Acta de la Junta General Ordinaria de Accionistas de la Compañía Corporación MULTIBG S.A.</w:t>
      </w:r>
      <w:r w:rsidRPr="0067008A">
        <w:rPr>
          <w:rFonts w:ascii="Times New Roman" w:hAnsi="Times New Roman" w:cs="Times New Roman"/>
          <w:sz w:val="22"/>
          <w:szCs w:val="22"/>
          <w:lang w:val="es-ES"/>
        </w:rPr>
        <w:t xml:space="preserve"> Acta, Guayaquil: Corporación MULTIBG, 2021.</w:t>
      </w:r>
    </w:p>
    <w:p w:rsidR="006A4D59" w:rsidRPr="0067008A" w:rsidRDefault="00921711" w:rsidP="00677E33">
      <w:pPr>
        <w:pStyle w:val="Bibliografa"/>
        <w:spacing w:after="240" w:line="360" w:lineRule="auto"/>
        <w:ind w:left="709" w:hanging="709"/>
        <w:jc w:val="both"/>
        <w:rPr>
          <w:rFonts w:ascii="Times New Roman" w:hAnsi="Times New Roman" w:cs="Times New Roman"/>
          <w:sz w:val="22"/>
          <w:szCs w:val="22"/>
          <w:lang w:val="es-ES"/>
        </w:rPr>
      </w:pPr>
      <w:r w:rsidRPr="0067008A">
        <w:rPr>
          <w:rFonts w:ascii="Times New Roman" w:hAnsi="Times New Roman" w:cs="Times New Roman"/>
          <w:sz w:val="22"/>
          <w:szCs w:val="22"/>
          <w:lang w:val="es-ES"/>
        </w:rPr>
        <w:t xml:space="preserve">CORPORACION MULTIBG S.A. </w:t>
      </w:r>
      <w:r w:rsidRPr="0067008A">
        <w:rPr>
          <w:rFonts w:ascii="Times New Roman" w:hAnsi="Times New Roman" w:cs="Times New Roman"/>
          <w:i/>
          <w:iCs/>
          <w:sz w:val="22"/>
          <w:szCs w:val="22"/>
          <w:lang w:val="es-ES"/>
        </w:rPr>
        <w:t>Acta de la Junta General Ordinaria de Accionistas de la Compañía Corporación MULTIBG S.A. celebrada el 4 de abril de 2013.</w:t>
      </w:r>
      <w:r w:rsidRPr="0067008A">
        <w:rPr>
          <w:rFonts w:ascii="Times New Roman" w:hAnsi="Times New Roman" w:cs="Times New Roman"/>
          <w:sz w:val="22"/>
          <w:szCs w:val="22"/>
          <w:lang w:val="es-ES"/>
        </w:rPr>
        <w:t xml:space="preserve"> ACTA, Guayaquil: Corporación MULTIBG S.A., 2013.</w:t>
      </w:r>
    </w:p>
    <w:p w:rsidR="006A4D59" w:rsidRPr="0067008A" w:rsidRDefault="00921711" w:rsidP="00677E33">
      <w:pPr>
        <w:pStyle w:val="Bibliografa"/>
        <w:spacing w:after="240" w:line="360" w:lineRule="auto"/>
        <w:ind w:left="709" w:hanging="709"/>
        <w:jc w:val="both"/>
        <w:rPr>
          <w:rFonts w:ascii="Times New Roman" w:hAnsi="Times New Roman" w:cs="Times New Roman"/>
          <w:sz w:val="22"/>
          <w:szCs w:val="22"/>
          <w:lang w:val="es-ES"/>
        </w:rPr>
      </w:pPr>
      <w:r w:rsidRPr="0067008A">
        <w:rPr>
          <w:rFonts w:ascii="Times New Roman" w:hAnsi="Times New Roman" w:cs="Times New Roman"/>
          <w:sz w:val="22"/>
          <w:szCs w:val="22"/>
          <w:lang w:val="es-ES"/>
        </w:rPr>
        <w:t xml:space="preserve">CORPORACION MULTIBG S.A. </w:t>
      </w:r>
      <w:r w:rsidRPr="0067008A">
        <w:rPr>
          <w:rFonts w:ascii="Times New Roman" w:hAnsi="Times New Roman" w:cs="Times New Roman"/>
          <w:i/>
          <w:iCs/>
          <w:sz w:val="22"/>
          <w:szCs w:val="22"/>
          <w:lang w:val="es-ES"/>
        </w:rPr>
        <w:t>Acta de la Junta General Ordinaria de Accionistas de la Compañía Corporación MULTIBG S.A. celebrada el 30 de enero de 2014 .</w:t>
      </w:r>
      <w:r w:rsidRPr="0067008A">
        <w:rPr>
          <w:rFonts w:ascii="Times New Roman" w:hAnsi="Times New Roman" w:cs="Times New Roman"/>
          <w:sz w:val="22"/>
          <w:szCs w:val="22"/>
          <w:lang w:val="es-ES"/>
        </w:rPr>
        <w:t xml:space="preserve"> Acta, Guayaquil: Corporación MULTIBG S.A., 2014.</w:t>
      </w:r>
    </w:p>
    <w:p w:rsidR="006A4D59" w:rsidRPr="0067008A" w:rsidRDefault="00921711" w:rsidP="00677E33">
      <w:pPr>
        <w:pStyle w:val="Bibliografa"/>
        <w:spacing w:after="240" w:line="360" w:lineRule="auto"/>
        <w:ind w:left="709" w:hanging="709"/>
        <w:jc w:val="both"/>
        <w:rPr>
          <w:rFonts w:ascii="Times New Roman" w:hAnsi="Times New Roman" w:cs="Times New Roman"/>
          <w:sz w:val="22"/>
          <w:szCs w:val="22"/>
          <w:lang w:val="es-ES"/>
        </w:rPr>
      </w:pPr>
      <w:r w:rsidRPr="0067008A">
        <w:rPr>
          <w:rFonts w:ascii="Times New Roman" w:hAnsi="Times New Roman" w:cs="Times New Roman"/>
          <w:sz w:val="22"/>
          <w:szCs w:val="22"/>
          <w:lang w:val="es-ES"/>
        </w:rPr>
        <w:t xml:space="preserve">CORPORACION MULTIBG S.A. </w:t>
      </w:r>
      <w:r w:rsidRPr="0067008A">
        <w:rPr>
          <w:rFonts w:ascii="Times New Roman" w:hAnsi="Times New Roman" w:cs="Times New Roman"/>
          <w:i/>
          <w:iCs/>
          <w:sz w:val="22"/>
          <w:szCs w:val="22"/>
          <w:lang w:val="es-ES"/>
        </w:rPr>
        <w:t>Acta de la Junta General Ordinaria de Accionistas de la Compañía Corporación MULTIBG S.A. celebrada el 5 de febrero de 2015 .</w:t>
      </w:r>
      <w:r w:rsidRPr="0067008A">
        <w:rPr>
          <w:rFonts w:ascii="Times New Roman" w:hAnsi="Times New Roman" w:cs="Times New Roman"/>
          <w:sz w:val="22"/>
          <w:szCs w:val="22"/>
          <w:lang w:val="es-ES"/>
        </w:rPr>
        <w:t xml:space="preserve"> Acta, Guayaquil: Corporación MULTIBG S.A., 2015.</w:t>
      </w:r>
    </w:p>
    <w:p w:rsidR="006A4D59" w:rsidRPr="0067008A" w:rsidRDefault="00921711" w:rsidP="00677E33">
      <w:pPr>
        <w:pStyle w:val="Bibliografa"/>
        <w:spacing w:after="240" w:line="360" w:lineRule="auto"/>
        <w:ind w:left="709" w:hanging="709"/>
        <w:jc w:val="both"/>
        <w:rPr>
          <w:rFonts w:ascii="Times New Roman" w:hAnsi="Times New Roman" w:cs="Times New Roman"/>
          <w:sz w:val="22"/>
          <w:szCs w:val="22"/>
          <w:lang w:val="es-ES"/>
        </w:rPr>
      </w:pPr>
      <w:r w:rsidRPr="0067008A">
        <w:rPr>
          <w:rFonts w:ascii="Times New Roman" w:hAnsi="Times New Roman" w:cs="Times New Roman"/>
          <w:sz w:val="22"/>
          <w:szCs w:val="22"/>
          <w:lang w:val="es-ES"/>
        </w:rPr>
        <w:t xml:space="preserve">CORPORACION MULTIBG S.A. </w:t>
      </w:r>
      <w:r w:rsidRPr="0067008A">
        <w:rPr>
          <w:rFonts w:ascii="Times New Roman" w:hAnsi="Times New Roman" w:cs="Times New Roman"/>
          <w:i/>
          <w:iCs/>
          <w:sz w:val="22"/>
          <w:szCs w:val="22"/>
          <w:lang w:val="es-ES"/>
        </w:rPr>
        <w:t>Acta de la Junta General Ordinaria de Accionistas de la Compañía Corporación MULTIBG S.A. celebrada el 4 de febrero de 2016 .</w:t>
      </w:r>
      <w:r w:rsidRPr="0067008A">
        <w:rPr>
          <w:rFonts w:ascii="Times New Roman" w:hAnsi="Times New Roman" w:cs="Times New Roman"/>
          <w:sz w:val="22"/>
          <w:szCs w:val="22"/>
          <w:lang w:val="es-ES"/>
        </w:rPr>
        <w:t xml:space="preserve"> Acta, Guayaquil: Corporación MULTIBG S.A., 2016.</w:t>
      </w:r>
    </w:p>
    <w:p w:rsidR="006A4D59" w:rsidRPr="0067008A" w:rsidRDefault="00921711" w:rsidP="00677E33">
      <w:pPr>
        <w:pStyle w:val="Bibliografa"/>
        <w:spacing w:after="240" w:line="360" w:lineRule="auto"/>
        <w:ind w:left="709" w:hanging="709"/>
        <w:jc w:val="both"/>
        <w:rPr>
          <w:rFonts w:ascii="Times New Roman" w:hAnsi="Times New Roman" w:cs="Times New Roman"/>
          <w:sz w:val="22"/>
          <w:szCs w:val="22"/>
          <w:lang w:val="es-ES"/>
        </w:rPr>
      </w:pPr>
      <w:r w:rsidRPr="0067008A">
        <w:rPr>
          <w:rFonts w:ascii="Times New Roman" w:hAnsi="Times New Roman" w:cs="Times New Roman"/>
          <w:sz w:val="22"/>
          <w:szCs w:val="22"/>
          <w:lang w:val="es-ES"/>
        </w:rPr>
        <w:t xml:space="preserve">CORPORACION MULTIBG S.A. </w:t>
      </w:r>
      <w:r w:rsidRPr="0067008A">
        <w:rPr>
          <w:rFonts w:ascii="Times New Roman" w:hAnsi="Times New Roman" w:cs="Times New Roman"/>
          <w:i/>
          <w:iCs/>
          <w:sz w:val="22"/>
          <w:szCs w:val="22"/>
          <w:lang w:val="es-ES"/>
        </w:rPr>
        <w:t>Acta de la Junta General Ordinaria de Accionistas de la Compañía Corporación MULTIBG S.A. celebrada el 7 de febrero de 2017 .</w:t>
      </w:r>
      <w:r w:rsidRPr="0067008A">
        <w:rPr>
          <w:rFonts w:ascii="Times New Roman" w:hAnsi="Times New Roman" w:cs="Times New Roman"/>
          <w:sz w:val="22"/>
          <w:szCs w:val="22"/>
          <w:lang w:val="es-ES"/>
        </w:rPr>
        <w:t xml:space="preserve"> Acta, Guayaquil: Corporación MULTIBG S.A., 2017.</w:t>
      </w:r>
    </w:p>
    <w:p w:rsidR="006A4D59" w:rsidRPr="0067008A" w:rsidRDefault="00921711" w:rsidP="00677E33">
      <w:pPr>
        <w:pStyle w:val="Bibliografa"/>
        <w:spacing w:after="240" w:line="360" w:lineRule="auto"/>
        <w:ind w:left="709" w:hanging="709"/>
        <w:jc w:val="both"/>
        <w:rPr>
          <w:rFonts w:ascii="Times New Roman" w:hAnsi="Times New Roman" w:cs="Times New Roman"/>
          <w:sz w:val="22"/>
          <w:szCs w:val="22"/>
          <w:lang w:val="es-ES"/>
        </w:rPr>
      </w:pPr>
      <w:r w:rsidRPr="0067008A">
        <w:rPr>
          <w:rFonts w:ascii="Times New Roman" w:hAnsi="Times New Roman" w:cs="Times New Roman"/>
          <w:sz w:val="22"/>
          <w:szCs w:val="22"/>
          <w:lang w:val="es-ES"/>
        </w:rPr>
        <w:t xml:space="preserve">CORPORACION MULTIBG S.A. </w:t>
      </w:r>
      <w:r w:rsidRPr="0067008A">
        <w:rPr>
          <w:rFonts w:ascii="Times New Roman" w:hAnsi="Times New Roman" w:cs="Times New Roman"/>
          <w:i/>
          <w:iCs/>
          <w:sz w:val="22"/>
          <w:szCs w:val="22"/>
          <w:lang w:val="es-ES"/>
        </w:rPr>
        <w:t>Acta de la Junta General Ordinaria de Accionistas de la Compañía Corporación MULTIBG S.A. celebrada el 20 de febrero de 2018 .</w:t>
      </w:r>
      <w:r w:rsidRPr="0067008A">
        <w:rPr>
          <w:rFonts w:ascii="Times New Roman" w:hAnsi="Times New Roman" w:cs="Times New Roman"/>
          <w:sz w:val="22"/>
          <w:szCs w:val="22"/>
          <w:lang w:val="es-ES"/>
        </w:rPr>
        <w:t xml:space="preserve"> Acta, Guayaquil: Corporación MULTIBG S.A., 2018.</w:t>
      </w:r>
    </w:p>
    <w:p w:rsidR="006A4D59" w:rsidRPr="0067008A" w:rsidRDefault="00921711" w:rsidP="00677E33">
      <w:pPr>
        <w:pStyle w:val="Bibliografa"/>
        <w:spacing w:after="240" w:line="360" w:lineRule="auto"/>
        <w:ind w:left="709" w:hanging="709"/>
        <w:jc w:val="both"/>
        <w:rPr>
          <w:rFonts w:ascii="Times New Roman" w:hAnsi="Times New Roman" w:cs="Times New Roman"/>
          <w:sz w:val="22"/>
          <w:szCs w:val="22"/>
          <w:lang w:val="es-ES"/>
        </w:rPr>
      </w:pPr>
      <w:r w:rsidRPr="0067008A">
        <w:rPr>
          <w:rFonts w:ascii="Times New Roman" w:hAnsi="Times New Roman" w:cs="Times New Roman"/>
          <w:sz w:val="22"/>
          <w:szCs w:val="22"/>
          <w:lang w:val="es-ES"/>
        </w:rPr>
        <w:t xml:space="preserve">CORPORACION MULTIBG S.A. </w:t>
      </w:r>
      <w:r w:rsidRPr="0067008A">
        <w:rPr>
          <w:rFonts w:ascii="Times New Roman" w:hAnsi="Times New Roman" w:cs="Times New Roman"/>
          <w:i/>
          <w:iCs/>
          <w:sz w:val="22"/>
          <w:szCs w:val="22"/>
          <w:lang w:val="es-ES"/>
        </w:rPr>
        <w:t>Acta de la Junta General Ordinaria de Accionistas de la Compañía Corporación MULTIBG S.A. celebrada el 5 de febrero de 2019 .</w:t>
      </w:r>
      <w:r w:rsidRPr="0067008A">
        <w:rPr>
          <w:rFonts w:ascii="Times New Roman" w:hAnsi="Times New Roman" w:cs="Times New Roman"/>
          <w:sz w:val="22"/>
          <w:szCs w:val="22"/>
          <w:lang w:val="es-ES"/>
        </w:rPr>
        <w:t xml:space="preserve"> Acta, Guayaquil: Corporación MULTIBG S.A., 2019.</w:t>
      </w:r>
    </w:p>
    <w:p w:rsidR="006A4D59" w:rsidRPr="0067008A" w:rsidRDefault="00921711" w:rsidP="00677E33">
      <w:pPr>
        <w:pStyle w:val="Bibliografa"/>
        <w:spacing w:after="240" w:line="360" w:lineRule="auto"/>
        <w:ind w:left="709" w:hanging="709"/>
        <w:jc w:val="both"/>
        <w:rPr>
          <w:rFonts w:ascii="Times New Roman" w:hAnsi="Times New Roman" w:cs="Times New Roman"/>
          <w:sz w:val="22"/>
          <w:szCs w:val="22"/>
          <w:lang w:val="es-ES"/>
        </w:rPr>
      </w:pPr>
      <w:r w:rsidRPr="0067008A">
        <w:rPr>
          <w:rFonts w:ascii="Times New Roman" w:hAnsi="Times New Roman" w:cs="Times New Roman"/>
          <w:sz w:val="22"/>
          <w:szCs w:val="22"/>
          <w:lang w:val="es-ES"/>
        </w:rPr>
        <w:t xml:space="preserve">CORPORACION MULTIBG S.A. </w:t>
      </w:r>
      <w:r w:rsidRPr="0067008A">
        <w:rPr>
          <w:rFonts w:ascii="Times New Roman" w:hAnsi="Times New Roman" w:cs="Times New Roman"/>
          <w:i/>
          <w:iCs/>
          <w:sz w:val="22"/>
          <w:szCs w:val="22"/>
          <w:lang w:val="es-ES"/>
        </w:rPr>
        <w:t>Acta de la Junta General Ordinaria de Accionistas de la Compañía Corporación MULTIBG S.A. celebrada el 4 de febrero de 2020.</w:t>
      </w:r>
      <w:r w:rsidRPr="0067008A">
        <w:rPr>
          <w:rFonts w:ascii="Times New Roman" w:hAnsi="Times New Roman" w:cs="Times New Roman"/>
          <w:sz w:val="22"/>
          <w:szCs w:val="22"/>
          <w:lang w:val="es-ES"/>
        </w:rPr>
        <w:t xml:space="preserve"> Acta, Guayaquil: Corporación MULTIBG S.A., 2020.</w:t>
      </w:r>
    </w:p>
    <w:p w:rsidR="006A4D59" w:rsidRPr="0067008A" w:rsidRDefault="00921711" w:rsidP="00677E33">
      <w:pPr>
        <w:pStyle w:val="Bibliografa"/>
        <w:spacing w:after="240" w:line="360" w:lineRule="auto"/>
        <w:ind w:left="709" w:hanging="709"/>
        <w:jc w:val="both"/>
        <w:rPr>
          <w:rFonts w:ascii="Times New Roman" w:hAnsi="Times New Roman" w:cs="Times New Roman"/>
          <w:sz w:val="22"/>
          <w:szCs w:val="22"/>
          <w:lang w:val="es-ES"/>
        </w:rPr>
      </w:pPr>
      <w:r w:rsidRPr="0067008A">
        <w:rPr>
          <w:rFonts w:ascii="Times New Roman" w:hAnsi="Times New Roman" w:cs="Times New Roman"/>
          <w:sz w:val="22"/>
          <w:szCs w:val="22"/>
          <w:lang w:val="es-ES"/>
        </w:rPr>
        <w:t xml:space="preserve">CORPORACION MULTIBG S.A. </w:t>
      </w:r>
      <w:r w:rsidRPr="0067008A">
        <w:rPr>
          <w:rFonts w:ascii="Times New Roman" w:hAnsi="Times New Roman" w:cs="Times New Roman"/>
          <w:i/>
          <w:iCs/>
          <w:sz w:val="22"/>
          <w:szCs w:val="22"/>
          <w:lang w:val="es-ES"/>
        </w:rPr>
        <w:t>Acta de la Junta General Ordinaria de Accionistas de la Compañía Corporación MULTIBG S.A. celebrada el 18 de febrero de 2021 .</w:t>
      </w:r>
      <w:r w:rsidRPr="0067008A">
        <w:rPr>
          <w:rFonts w:ascii="Times New Roman" w:hAnsi="Times New Roman" w:cs="Times New Roman"/>
          <w:sz w:val="22"/>
          <w:szCs w:val="22"/>
          <w:lang w:val="es-ES"/>
        </w:rPr>
        <w:t xml:space="preserve"> Acta, Guayaquil: Corporación MULTIBG S.A., 2021.</w:t>
      </w:r>
    </w:p>
    <w:p w:rsidR="006A4D59" w:rsidRPr="0067008A" w:rsidRDefault="00921711" w:rsidP="00677E33">
      <w:pPr>
        <w:pStyle w:val="Bibliografa"/>
        <w:spacing w:after="240" w:line="360" w:lineRule="auto"/>
        <w:ind w:left="709" w:hanging="709"/>
        <w:jc w:val="both"/>
        <w:rPr>
          <w:rFonts w:ascii="Times New Roman" w:hAnsi="Times New Roman" w:cs="Times New Roman"/>
          <w:sz w:val="22"/>
          <w:szCs w:val="22"/>
        </w:rPr>
      </w:pPr>
      <w:r w:rsidRPr="0067008A">
        <w:rPr>
          <w:rFonts w:ascii="Times New Roman" w:hAnsi="Times New Roman" w:cs="Times New Roman"/>
          <w:sz w:val="22"/>
          <w:szCs w:val="22"/>
          <w:lang w:val="es-ES"/>
        </w:rPr>
        <w:t>Notaría novena circuito de Panamá. «Acta fundacional de la fundación de interés privado BANISI INTERNATIONAL FOUNDATION.» Panamá, 2020.</w:t>
      </w:r>
    </w:p>
    <w:p w:rsidR="006A4D59" w:rsidRPr="0067008A" w:rsidRDefault="006A4D59" w:rsidP="00677E33">
      <w:pPr>
        <w:spacing w:after="240" w:line="360" w:lineRule="auto"/>
        <w:rPr>
          <w:rFonts w:ascii="Times New Roman" w:hAnsi="Times New Roman" w:cs="Times New Roman"/>
        </w:rPr>
      </w:pPr>
    </w:p>
    <w:p w:rsidR="006A4D59" w:rsidRPr="0067008A" w:rsidRDefault="00921711" w:rsidP="00677E33">
      <w:pPr>
        <w:spacing w:after="240" w:line="360" w:lineRule="auto"/>
        <w:jc w:val="both"/>
        <w:rPr>
          <w:rFonts w:ascii="Times New Roman" w:hAnsi="Times New Roman" w:cs="Times New Roman"/>
          <w:lang w:val="nl-NL"/>
        </w:rPr>
      </w:pPr>
      <w:r w:rsidRPr="0067008A">
        <w:rPr>
          <w:rFonts w:ascii="Times New Roman" w:hAnsi="Times New Roman" w:cs="Times New Roman"/>
        </w:rPr>
        <w:br w:type="page"/>
      </w:r>
    </w:p>
    <w:p w:rsidR="006A4D59" w:rsidRPr="0067008A" w:rsidRDefault="006A4D59" w:rsidP="00677E33">
      <w:pPr>
        <w:spacing w:after="240" w:line="360" w:lineRule="auto"/>
        <w:jc w:val="both"/>
        <w:rPr>
          <w:rFonts w:ascii="Times New Roman" w:hAnsi="Times New Roman" w:cs="Times New Roman"/>
          <w:b/>
        </w:rPr>
      </w:pPr>
    </w:p>
    <w:p w:rsidR="006A4D59" w:rsidRPr="0067008A" w:rsidRDefault="00921711" w:rsidP="00677E33">
      <w:pPr>
        <w:spacing w:after="240" w:line="360" w:lineRule="auto"/>
        <w:jc w:val="both"/>
        <w:rPr>
          <w:rFonts w:ascii="Times New Roman" w:hAnsi="Times New Roman" w:cs="Times New Roman"/>
          <w:b/>
        </w:rPr>
      </w:pPr>
      <w:r w:rsidRPr="0067008A">
        <w:rPr>
          <w:rFonts w:ascii="Times New Roman" w:hAnsi="Times New Roman" w:cs="Times New Roman"/>
          <w:b/>
        </w:rPr>
        <w:t xml:space="preserve">TEORÍA DE LA RESPONSABILIDAD JURÍDICA EN EL MARCO DEL CASO PANDORA PAPERS </w:t>
      </w:r>
    </w:p>
    <w:p w:rsidR="006A4D59" w:rsidRPr="0067008A" w:rsidRDefault="006A4D59" w:rsidP="00677E33">
      <w:pPr>
        <w:spacing w:after="240" w:line="360" w:lineRule="auto"/>
        <w:jc w:val="both"/>
        <w:rPr>
          <w:rFonts w:ascii="Times New Roman" w:hAnsi="Times New Roman" w:cs="Times New Roman"/>
          <w:b/>
        </w:rPr>
      </w:pPr>
    </w:p>
    <w:p w:rsidR="006A4D59" w:rsidRPr="0067008A" w:rsidRDefault="00921711" w:rsidP="00677E33">
      <w:pPr>
        <w:shd w:val="clear" w:color="auto" w:fill="FFFFFF"/>
        <w:spacing w:after="240" w:line="360" w:lineRule="auto"/>
        <w:jc w:val="both"/>
        <w:rPr>
          <w:rFonts w:ascii="Times New Roman" w:hAnsi="Times New Roman" w:cs="Times New Roman"/>
        </w:rPr>
      </w:pPr>
      <w:r w:rsidRPr="0067008A">
        <w:rPr>
          <w:rFonts w:ascii="Times New Roman" w:hAnsi="Times New Roman" w:cs="Times New Roman"/>
        </w:rPr>
        <w:t>Cuando</w:t>
      </w:r>
      <w:r w:rsidR="00677E33" w:rsidRPr="0067008A">
        <w:rPr>
          <w:rFonts w:ascii="Times New Roman" w:hAnsi="Times New Roman" w:cs="Times New Roman"/>
        </w:rPr>
        <w:t xml:space="preserve"> </w:t>
      </w:r>
      <w:r w:rsidRPr="0067008A">
        <w:rPr>
          <w:rFonts w:ascii="Times New Roman" w:hAnsi="Times New Roman" w:cs="Times New Roman"/>
        </w:rPr>
        <w:t>se</w:t>
      </w:r>
      <w:r w:rsidR="00677E33" w:rsidRPr="0067008A">
        <w:rPr>
          <w:rFonts w:ascii="Times New Roman" w:hAnsi="Times New Roman" w:cs="Times New Roman"/>
        </w:rPr>
        <w:t xml:space="preserve"> </w:t>
      </w:r>
      <w:r w:rsidRPr="0067008A">
        <w:rPr>
          <w:rFonts w:ascii="Times New Roman" w:hAnsi="Times New Roman" w:cs="Times New Roman"/>
        </w:rPr>
        <w:t>habla</w:t>
      </w:r>
      <w:r w:rsidR="00677E33" w:rsidRPr="0067008A">
        <w:rPr>
          <w:rFonts w:ascii="Times New Roman" w:hAnsi="Times New Roman" w:cs="Times New Roman"/>
        </w:rPr>
        <w:t xml:space="preserve"> </w:t>
      </w:r>
      <w:r w:rsidRPr="0067008A">
        <w:rPr>
          <w:rFonts w:ascii="Times New Roman" w:hAnsi="Times New Roman" w:cs="Times New Roman"/>
        </w:rPr>
        <w:t>de</w:t>
      </w:r>
      <w:r w:rsidR="00677E33" w:rsidRPr="0067008A">
        <w:rPr>
          <w:rFonts w:ascii="Times New Roman" w:hAnsi="Times New Roman" w:cs="Times New Roman"/>
        </w:rPr>
        <w:t xml:space="preserve"> </w:t>
      </w:r>
      <w:r w:rsidRPr="0067008A">
        <w:rPr>
          <w:rFonts w:ascii="Times New Roman" w:hAnsi="Times New Roman" w:cs="Times New Roman"/>
        </w:rPr>
        <w:t>responsabilidad</w:t>
      </w:r>
      <w:r w:rsidR="00677E33" w:rsidRPr="0067008A">
        <w:rPr>
          <w:rFonts w:ascii="Times New Roman" w:hAnsi="Times New Roman" w:cs="Times New Roman"/>
        </w:rPr>
        <w:t xml:space="preserve"> </w:t>
      </w:r>
      <w:r w:rsidRPr="0067008A">
        <w:rPr>
          <w:rFonts w:ascii="Times New Roman" w:hAnsi="Times New Roman" w:cs="Times New Roman"/>
        </w:rPr>
        <w:t>jurídica</w:t>
      </w:r>
      <w:r w:rsidR="00677E33" w:rsidRPr="0067008A">
        <w:rPr>
          <w:rFonts w:ascii="Times New Roman" w:hAnsi="Times New Roman" w:cs="Times New Roman"/>
        </w:rPr>
        <w:t xml:space="preserve"> </w:t>
      </w:r>
      <w:r w:rsidRPr="0067008A">
        <w:rPr>
          <w:rFonts w:ascii="Times New Roman" w:hAnsi="Times New Roman" w:cs="Times New Roman"/>
        </w:rPr>
        <w:t>se</w:t>
      </w:r>
      <w:r w:rsidR="00677E33" w:rsidRPr="0067008A">
        <w:rPr>
          <w:rFonts w:ascii="Times New Roman" w:hAnsi="Times New Roman" w:cs="Times New Roman"/>
        </w:rPr>
        <w:t xml:space="preserve"> </w:t>
      </w:r>
      <w:r w:rsidRPr="0067008A">
        <w:rPr>
          <w:rFonts w:ascii="Times New Roman" w:hAnsi="Times New Roman" w:cs="Times New Roman"/>
        </w:rPr>
        <w:t>hace</w:t>
      </w:r>
      <w:r w:rsidR="00677E33" w:rsidRPr="0067008A">
        <w:rPr>
          <w:rFonts w:ascii="Times New Roman" w:hAnsi="Times New Roman" w:cs="Times New Roman"/>
        </w:rPr>
        <w:t xml:space="preserve"> </w:t>
      </w:r>
      <w:r w:rsidRPr="0067008A">
        <w:rPr>
          <w:rFonts w:ascii="Times New Roman" w:hAnsi="Times New Roman" w:cs="Times New Roman"/>
        </w:rPr>
        <w:t>referencia</w:t>
      </w:r>
      <w:r w:rsidR="00677E33" w:rsidRPr="0067008A">
        <w:rPr>
          <w:rFonts w:ascii="Times New Roman" w:hAnsi="Times New Roman" w:cs="Times New Roman"/>
        </w:rPr>
        <w:t xml:space="preserve"> </w:t>
      </w:r>
      <w:r w:rsidRPr="0067008A">
        <w:rPr>
          <w:rFonts w:ascii="Times New Roman" w:hAnsi="Times New Roman" w:cs="Times New Roman"/>
        </w:rPr>
        <w:t>a la atribución</w:t>
      </w:r>
      <w:r w:rsidR="00677E33" w:rsidRPr="0067008A">
        <w:rPr>
          <w:rFonts w:ascii="Times New Roman" w:hAnsi="Times New Roman" w:cs="Times New Roman"/>
        </w:rPr>
        <w:t xml:space="preserve"> </w:t>
      </w:r>
      <w:r w:rsidRPr="0067008A">
        <w:rPr>
          <w:rFonts w:ascii="Times New Roman" w:hAnsi="Times New Roman" w:cs="Times New Roman"/>
        </w:rPr>
        <w:t>a un sujeto de la responsabilidad por un daño que ha padecido una persona natural o jurídica o un bien jurídico protegido por la sociedad y el Estado.</w:t>
      </w:r>
      <w:r w:rsidR="00677E33" w:rsidRPr="0067008A">
        <w:rPr>
          <w:rFonts w:ascii="Times New Roman" w:hAnsi="Times New Roman" w:cs="Times New Roman"/>
        </w:rPr>
        <w:t xml:space="preserve"> </w:t>
      </w:r>
      <w:r w:rsidRPr="0067008A">
        <w:rPr>
          <w:rFonts w:ascii="Times New Roman" w:hAnsi="Times New Roman" w:cs="Times New Roman"/>
        </w:rPr>
        <w:t>Por</w:t>
      </w:r>
      <w:r w:rsidR="00677E33" w:rsidRPr="0067008A">
        <w:rPr>
          <w:rFonts w:ascii="Times New Roman" w:hAnsi="Times New Roman" w:cs="Times New Roman"/>
        </w:rPr>
        <w:t xml:space="preserve"> </w:t>
      </w:r>
      <w:r w:rsidRPr="0067008A">
        <w:rPr>
          <w:rFonts w:ascii="Times New Roman" w:hAnsi="Times New Roman" w:cs="Times New Roman"/>
        </w:rPr>
        <w:t>bien</w:t>
      </w:r>
      <w:r w:rsidR="00677E33" w:rsidRPr="0067008A">
        <w:rPr>
          <w:rFonts w:ascii="Times New Roman" w:hAnsi="Times New Roman" w:cs="Times New Roman"/>
        </w:rPr>
        <w:t xml:space="preserve"> </w:t>
      </w:r>
      <w:r w:rsidRPr="0067008A">
        <w:rPr>
          <w:rFonts w:ascii="Times New Roman" w:hAnsi="Times New Roman" w:cs="Times New Roman"/>
        </w:rPr>
        <w:t>jurídico</w:t>
      </w:r>
      <w:r w:rsidR="00677E33" w:rsidRPr="0067008A">
        <w:rPr>
          <w:rFonts w:ascii="Times New Roman" w:hAnsi="Times New Roman" w:cs="Times New Roman"/>
        </w:rPr>
        <w:t xml:space="preserve"> </w:t>
      </w:r>
      <w:r w:rsidRPr="0067008A">
        <w:rPr>
          <w:rFonts w:ascii="Times New Roman" w:hAnsi="Times New Roman" w:cs="Times New Roman"/>
        </w:rPr>
        <w:t>podemos entender aquí un interés o estado de cosas como la vida, libertad, igualdad, dignidad, entre otros derechos, que, conforme a las normas del sistema jurídico, son merecedores de esa protección mediante coacción que brinda el Derecho, el Estado de Derecho y de Derechos.</w:t>
      </w:r>
    </w:p>
    <w:p w:rsidR="006A4D59" w:rsidRPr="0067008A" w:rsidRDefault="006A4D59" w:rsidP="00677E33">
      <w:pPr>
        <w:shd w:val="clear" w:color="auto" w:fill="FFFFFF"/>
        <w:spacing w:after="240" w:line="360" w:lineRule="auto"/>
        <w:jc w:val="both"/>
        <w:rPr>
          <w:rFonts w:ascii="Times New Roman" w:hAnsi="Times New Roman" w:cs="Times New Roman"/>
        </w:rPr>
      </w:pPr>
    </w:p>
    <w:p w:rsidR="006A4D59" w:rsidRPr="0067008A" w:rsidRDefault="00921711" w:rsidP="00677E33">
      <w:pPr>
        <w:shd w:val="clear" w:color="auto" w:fill="FFFFFF"/>
        <w:spacing w:after="240" w:line="360" w:lineRule="auto"/>
        <w:jc w:val="both"/>
        <w:rPr>
          <w:rFonts w:ascii="Times New Roman" w:hAnsi="Times New Roman" w:cs="Times New Roman"/>
        </w:rPr>
      </w:pPr>
      <w:r w:rsidRPr="0067008A">
        <w:rPr>
          <w:rFonts w:ascii="Times New Roman" w:hAnsi="Times New Roman" w:cs="Times New Roman"/>
        </w:rPr>
        <w:t>En consecuencia, un sujeto es jurídicamente responsable cuando el sistema jurídico prescribe que ese sujeto por sus acciones u omisiones ha de “</w:t>
      </w:r>
      <w:r w:rsidRPr="0067008A">
        <w:rPr>
          <w:rFonts w:ascii="Times New Roman" w:hAnsi="Times New Roman" w:cs="Times New Roman"/>
          <w:i/>
        </w:rPr>
        <w:t>pagar</w:t>
      </w:r>
      <w:r w:rsidRPr="0067008A">
        <w:rPr>
          <w:rFonts w:ascii="Times New Roman" w:hAnsi="Times New Roman" w:cs="Times New Roman"/>
        </w:rPr>
        <w:t>” por un daño ocasionado a otros sujetos, a un grupo de ellos o a la</w:t>
      </w:r>
      <w:r w:rsidR="00677E33" w:rsidRPr="0067008A">
        <w:rPr>
          <w:rFonts w:ascii="Times New Roman" w:hAnsi="Times New Roman" w:cs="Times New Roman"/>
        </w:rPr>
        <w:t xml:space="preserve"> </w:t>
      </w:r>
      <w:r w:rsidRPr="0067008A">
        <w:rPr>
          <w:rFonts w:ascii="Times New Roman" w:hAnsi="Times New Roman" w:cs="Times New Roman"/>
        </w:rPr>
        <w:t>colectividad toda.</w:t>
      </w:r>
    </w:p>
    <w:p w:rsidR="006A4D59" w:rsidRPr="0067008A" w:rsidRDefault="006A4D59" w:rsidP="00677E33">
      <w:pPr>
        <w:shd w:val="clear" w:color="auto" w:fill="FFFFFF"/>
        <w:spacing w:after="240" w:line="360" w:lineRule="auto"/>
        <w:jc w:val="both"/>
        <w:rPr>
          <w:rFonts w:ascii="Times New Roman" w:hAnsi="Times New Roman" w:cs="Times New Roman"/>
        </w:rPr>
      </w:pPr>
    </w:p>
    <w:p w:rsidR="006A4D59" w:rsidRPr="0067008A" w:rsidRDefault="00921711" w:rsidP="00677E33">
      <w:pPr>
        <w:shd w:val="clear" w:color="auto" w:fill="FFFFFF"/>
        <w:spacing w:after="240" w:line="360" w:lineRule="auto"/>
        <w:jc w:val="both"/>
        <w:rPr>
          <w:rFonts w:ascii="Times New Roman" w:hAnsi="Times New Roman" w:cs="Times New Roman"/>
        </w:rPr>
      </w:pPr>
      <w:r w:rsidRPr="0067008A">
        <w:rPr>
          <w:rFonts w:ascii="Times New Roman" w:hAnsi="Times New Roman" w:cs="Times New Roman"/>
        </w:rPr>
        <w:t>El “</w:t>
      </w:r>
      <w:r w:rsidRPr="0067008A">
        <w:rPr>
          <w:rFonts w:ascii="Times New Roman" w:hAnsi="Times New Roman" w:cs="Times New Roman"/>
          <w:i/>
        </w:rPr>
        <w:t>pago</w:t>
      </w:r>
      <w:r w:rsidRPr="0067008A">
        <w:rPr>
          <w:rFonts w:ascii="Times New Roman" w:hAnsi="Times New Roman" w:cs="Times New Roman"/>
        </w:rPr>
        <w:t>” que se impone al sujeto responsable consiste en una sanción en sentido estricto, es decir, en un castigo o retribución por su acción indebida o contraria a las normas jurídicas. Así entramos entonces al mundo de las sanciones penales y administrativas, cada una con un régimen y procedimiento particular. En el otro tipo de responsabilidad no se trata</w:t>
      </w:r>
      <w:r w:rsidR="00677E33" w:rsidRPr="0067008A">
        <w:rPr>
          <w:rFonts w:ascii="Times New Roman" w:hAnsi="Times New Roman" w:cs="Times New Roman"/>
        </w:rPr>
        <w:t xml:space="preserve"> </w:t>
      </w:r>
      <w:r w:rsidRPr="0067008A">
        <w:rPr>
          <w:rFonts w:ascii="Times New Roman" w:hAnsi="Times New Roman" w:cs="Times New Roman"/>
        </w:rPr>
        <w:t>de</w:t>
      </w:r>
      <w:r w:rsidR="00677E33" w:rsidRPr="0067008A">
        <w:rPr>
          <w:rFonts w:ascii="Times New Roman" w:hAnsi="Times New Roman" w:cs="Times New Roman"/>
        </w:rPr>
        <w:t xml:space="preserve"> </w:t>
      </w:r>
      <w:r w:rsidRPr="0067008A">
        <w:rPr>
          <w:rFonts w:ascii="Times New Roman" w:hAnsi="Times New Roman" w:cs="Times New Roman"/>
        </w:rPr>
        <w:t>castigar</w:t>
      </w:r>
      <w:r w:rsidR="00677E33" w:rsidRPr="0067008A">
        <w:rPr>
          <w:rFonts w:ascii="Times New Roman" w:hAnsi="Times New Roman" w:cs="Times New Roman"/>
        </w:rPr>
        <w:t xml:space="preserve"> </w:t>
      </w:r>
      <w:r w:rsidRPr="0067008A">
        <w:rPr>
          <w:rFonts w:ascii="Times New Roman" w:hAnsi="Times New Roman" w:cs="Times New Roman"/>
        </w:rPr>
        <w:t>por</w:t>
      </w:r>
      <w:r w:rsidR="00677E33" w:rsidRPr="0067008A">
        <w:rPr>
          <w:rFonts w:ascii="Times New Roman" w:hAnsi="Times New Roman" w:cs="Times New Roman"/>
        </w:rPr>
        <w:t xml:space="preserve"> </w:t>
      </w:r>
      <w:r w:rsidRPr="0067008A">
        <w:rPr>
          <w:rFonts w:ascii="Times New Roman" w:hAnsi="Times New Roman" w:cs="Times New Roman"/>
        </w:rPr>
        <w:t>una</w:t>
      </w:r>
      <w:r w:rsidR="00677E33" w:rsidRPr="0067008A">
        <w:rPr>
          <w:rFonts w:ascii="Times New Roman" w:hAnsi="Times New Roman" w:cs="Times New Roman"/>
        </w:rPr>
        <w:t xml:space="preserve"> </w:t>
      </w:r>
      <w:r w:rsidRPr="0067008A">
        <w:rPr>
          <w:rFonts w:ascii="Times New Roman" w:hAnsi="Times New Roman" w:cs="Times New Roman"/>
        </w:rPr>
        <w:t>acción</w:t>
      </w:r>
      <w:r w:rsidR="00677E33" w:rsidRPr="0067008A">
        <w:rPr>
          <w:rFonts w:ascii="Times New Roman" w:hAnsi="Times New Roman" w:cs="Times New Roman"/>
        </w:rPr>
        <w:t xml:space="preserve"> </w:t>
      </w:r>
      <w:r w:rsidRPr="0067008A">
        <w:rPr>
          <w:rFonts w:ascii="Times New Roman" w:hAnsi="Times New Roman" w:cs="Times New Roman"/>
        </w:rPr>
        <w:t>u</w:t>
      </w:r>
      <w:r w:rsidR="00677E33" w:rsidRPr="0067008A">
        <w:rPr>
          <w:rFonts w:ascii="Times New Roman" w:hAnsi="Times New Roman" w:cs="Times New Roman"/>
        </w:rPr>
        <w:t xml:space="preserve"> </w:t>
      </w:r>
      <w:r w:rsidRPr="0067008A">
        <w:rPr>
          <w:rFonts w:ascii="Times New Roman" w:hAnsi="Times New Roman" w:cs="Times New Roman"/>
        </w:rPr>
        <w:t>omisión</w:t>
      </w:r>
      <w:r w:rsidR="00677E33" w:rsidRPr="0067008A">
        <w:rPr>
          <w:rFonts w:ascii="Times New Roman" w:hAnsi="Times New Roman" w:cs="Times New Roman"/>
        </w:rPr>
        <w:t xml:space="preserve"> </w:t>
      </w:r>
      <w:r w:rsidRPr="0067008A">
        <w:rPr>
          <w:rFonts w:ascii="Times New Roman" w:hAnsi="Times New Roman" w:cs="Times New Roman"/>
        </w:rPr>
        <w:t>prohibidas</w:t>
      </w:r>
      <w:r w:rsidR="00677E33" w:rsidRPr="0067008A">
        <w:rPr>
          <w:rFonts w:ascii="Times New Roman" w:hAnsi="Times New Roman" w:cs="Times New Roman"/>
        </w:rPr>
        <w:t xml:space="preserve"> </w:t>
      </w:r>
      <w:r w:rsidRPr="0067008A">
        <w:rPr>
          <w:rFonts w:ascii="Times New Roman" w:hAnsi="Times New Roman" w:cs="Times New Roman"/>
        </w:rPr>
        <w:t>por dañosa, sino de obligar al responsable a indemnizar</w:t>
      </w:r>
      <w:r w:rsidR="00677E33" w:rsidRPr="0067008A">
        <w:rPr>
          <w:rFonts w:ascii="Times New Roman" w:hAnsi="Times New Roman" w:cs="Times New Roman"/>
        </w:rPr>
        <w:t xml:space="preserve"> </w:t>
      </w:r>
      <w:r w:rsidRPr="0067008A">
        <w:rPr>
          <w:rFonts w:ascii="Times New Roman" w:hAnsi="Times New Roman" w:cs="Times New Roman"/>
        </w:rPr>
        <w:t>a la víctima del mismo,</w:t>
      </w:r>
      <w:r w:rsidR="00677E33" w:rsidRPr="0067008A">
        <w:rPr>
          <w:rFonts w:ascii="Times New Roman" w:hAnsi="Times New Roman" w:cs="Times New Roman"/>
        </w:rPr>
        <w:t xml:space="preserve"> </w:t>
      </w:r>
      <w:r w:rsidRPr="0067008A">
        <w:rPr>
          <w:rFonts w:ascii="Times New Roman" w:hAnsi="Times New Roman" w:cs="Times New Roman"/>
        </w:rPr>
        <w:t>sustituyéndola en su situación anterior o compensando por el valor de lo perdido. Estamos en este caso ante la llamada responsabilidad civil, que</w:t>
      </w:r>
      <w:r w:rsidR="00677E33" w:rsidRPr="0067008A">
        <w:rPr>
          <w:rFonts w:ascii="Times New Roman" w:hAnsi="Times New Roman" w:cs="Times New Roman"/>
        </w:rPr>
        <w:t xml:space="preserve"> </w:t>
      </w:r>
      <w:r w:rsidRPr="0067008A">
        <w:rPr>
          <w:rFonts w:ascii="Times New Roman" w:hAnsi="Times New Roman" w:cs="Times New Roman"/>
        </w:rPr>
        <w:t>tiene,</w:t>
      </w:r>
      <w:r w:rsidR="00677E33" w:rsidRPr="0067008A">
        <w:rPr>
          <w:rFonts w:ascii="Times New Roman" w:hAnsi="Times New Roman" w:cs="Times New Roman"/>
        </w:rPr>
        <w:t xml:space="preserve"> </w:t>
      </w:r>
      <w:r w:rsidRPr="0067008A">
        <w:rPr>
          <w:rFonts w:ascii="Times New Roman" w:hAnsi="Times New Roman" w:cs="Times New Roman"/>
        </w:rPr>
        <w:t>a</w:t>
      </w:r>
      <w:r w:rsidR="00677E33" w:rsidRPr="0067008A">
        <w:rPr>
          <w:rFonts w:ascii="Times New Roman" w:hAnsi="Times New Roman" w:cs="Times New Roman"/>
        </w:rPr>
        <w:t xml:space="preserve"> </w:t>
      </w:r>
      <w:r w:rsidRPr="0067008A">
        <w:rPr>
          <w:rFonts w:ascii="Times New Roman" w:hAnsi="Times New Roman" w:cs="Times New Roman"/>
        </w:rPr>
        <w:t>su</w:t>
      </w:r>
      <w:r w:rsidR="00677E33" w:rsidRPr="0067008A">
        <w:rPr>
          <w:rFonts w:ascii="Times New Roman" w:hAnsi="Times New Roman" w:cs="Times New Roman"/>
        </w:rPr>
        <w:t xml:space="preserve"> </w:t>
      </w:r>
      <w:r w:rsidRPr="0067008A">
        <w:rPr>
          <w:rFonts w:ascii="Times New Roman" w:hAnsi="Times New Roman" w:cs="Times New Roman"/>
        </w:rPr>
        <w:t>vez,</w:t>
      </w:r>
      <w:r w:rsidR="00677E33" w:rsidRPr="0067008A">
        <w:rPr>
          <w:rFonts w:ascii="Times New Roman" w:hAnsi="Times New Roman" w:cs="Times New Roman"/>
        </w:rPr>
        <w:t xml:space="preserve"> </w:t>
      </w:r>
      <w:r w:rsidRPr="0067008A">
        <w:rPr>
          <w:rFonts w:ascii="Times New Roman" w:hAnsi="Times New Roman" w:cs="Times New Roman"/>
        </w:rPr>
        <w:t>dos</w:t>
      </w:r>
      <w:r w:rsidR="00677E33" w:rsidRPr="0067008A">
        <w:rPr>
          <w:rFonts w:ascii="Times New Roman" w:hAnsi="Times New Roman" w:cs="Times New Roman"/>
        </w:rPr>
        <w:t xml:space="preserve"> </w:t>
      </w:r>
      <w:r w:rsidRPr="0067008A">
        <w:rPr>
          <w:rFonts w:ascii="Times New Roman" w:hAnsi="Times New Roman" w:cs="Times New Roman"/>
        </w:rPr>
        <w:t>variantes,</w:t>
      </w:r>
      <w:r w:rsidR="00677E33" w:rsidRPr="0067008A">
        <w:rPr>
          <w:rFonts w:ascii="Times New Roman" w:hAnsi="Times New Roman" w:cs="Times New Roman"/>
        </w:rPr>
        <w:t xml:space="preserve"> </w:t>
      </w:r>
      <w:r w:rsidRPr="0067008A">
        <w:rPr>
          <w:rFonts w:ascii="Times New Roman" w:hAnsi="Times New Roman" w:cs="Times New Roman"/>
        </w:rPr>
        <w:t>la</w:t>
      </w:r>
      <w:r w:rsidR="00677E33" w:rsidRPr="0067008A">
        <w:rPr>
          <w:rFonts w:ascii="Times New Roman" w:hAnsi="Times New Roman" w:cs="Times New Roman"/>
        </w:rPr>
        <w:t xml:space="preserve"> </w:t>
      </w:r>
      <w:r w:rsidRPr="0067008A">
        <w:rPr>
          <w:rFonts w:ascii="Times New Roman" w:hAnsi="Times New Roman" w:cs="Times New Roman"/>
        </w:rPr>
        <w:t>contractual</w:t>
      </w:r>
      <w:r w:rsidR="00677E33" w:rsidRPr="0067008A">
        <w:rPr>
          <w:rFonts w:ascii="Times New Roman" w:hAnsi="Times New Roman" w:cs="Times New Roman"/>
        </w:rPr>
        <w:t xml:space="preserve"> </w:t>
      </w:r>
      <w:r w:rsidRPr="0067008A">
        <w:rPr>
          <w:rFonts w:ascii="Times New Roman" w:hAnsi="Times New Roman" w:cs="Times New Roman"/>
        </w:rPr>
        <w:t>y</w:t>
      </w:r>
      <w:r w:rsidR="00677E33" w:rsidRPr="0067008A">
        <w:rPr>
          <w:rFonts w:ascii="Times New Roman" w:hAnsi="Times New Roman" w:cs="Times New Roman"/>
        </w:rPr>
        <w:t xml:space="preserve"> </w:t>
      </w:r>
      <w:r w:rsidRPr="0067008A">
        <w:rPr>
          <w:rFonts w:ascii="Times New Roman" w:hAnsi="Times New Roman" w:cs="Times New Roman"/>
        </w:rPr>
        <w:t>la extracontractual.</w:t>
      </w:r>
    </w:p>
    <w:p w:rsidR="006A4D59" w:rsidRPr="0067008A" w:rsidRDefault="006A4D59" w:rsidP="00677E33">
      <w:pPr>
        <w:shd w:val="clear" w:color="auto" w:fill="FFFFFF"/>
        <w:spacing w:after="240" w:line="360" w:lineRule="auto"/>
        <w:jc w:val="both"/>
        <w:rPr>
          <w:rFonts w:ascii="Times New Roman" w:hAnsi="Times New Roman" w:cs="Times New Roman"/>
        </w:rPr>
      </w:pPr>
    </w:p>
    <w:p w:rsidR="006A4D59" w:rsidRPr="0067008A" w:rsidRDefault="00921711" w:rsidP="00677E33">
      <w:pPr>
        <w:shd w:val="clear" w:color="auto" w:fill="FFFFFF"/>
        <w:spacing w:after="240" w:line="360" w:lineRule="auto"/>
        <w:ind w:left="720"/>
        <w:jc w:val="both"/>
        <w:rPr>
          <w:rFonts w:ascii="Times New Roman" w:hAnsi="Times New Roman" w:cs="Times New Roman"/>
          <w:i/>
        </w:rPr>
      </w:pPr>
      <w:r w:rsidRPr="0067008A">
        <w:rPr>
          <w:rFonts w:ascii="Times New Roman" w:hAnsi="Times New Roman" w:cs="Times New Roman"/>
          <w:i/>
        </w:rPr>
        <w:t>“(...) La doctrina ha distinguido la responsabilidad contractual y extracontractual del Estado. La primera alude a todas las obligaciones legalmente adquiridas por el Estado con terceros mediante la suscripción de todo tipo de acto, convenio o contrato recíprocamente vinculante; así como a la posibilidad de terceros de exigir judicialmente el cumplimiento de lo acordado y de ser el caso el resarcimiento por el incumplimiento del Estado.</w:t>
      </w:r>
    </w:p>
    <w:p w:rsidR="006A4D59" w:rsidRPr="0067008A" w:rsidRDefault="006A4D59" w:rsidP="00677E33">
      <w:pPr>
        <w:shd w:val="clear" w:color="auto" w:fill="FFFFFF"/>
        <w:spacing w:after="240" w:line="360" w:lineRule="auto"/>
        <w:ind w:left="720"/>
        <w:jc w:val="both"/>
        <w:rPr>
          <w:rFonts w:ascii="Times New Roman" w:hAnsi="Times New Roman" w:cs="Times New Roman"/>
          <w:i/>
        </w:rPr>
      </w:pPr>
    </w:p>
    <w:p w:rsidR="006A4D59" w:rsidRPr="0067008A" w:rsidRDefault="00921711" w:rsidP="00677E33">
      <w:pPr>
        <w:shd w:val="clear" w:color="auto" w:fill="FFFFFF"/>
        <w:spacing w:after="240" w:line="360" w:lineRule="auto"/>
        <w:ind w:left="720"/>
        <w:jc w:val="both"/>
        <w:rPr>
          <w:rFonts w:ascii="Times New Roman" w:hAnsi="Times New Roman" w:cs="Times New Roman"/>
          <w:i/>
        </w:rPr>
      </w:pPr>
      <w:r w:rsidRPr="0067008A">
        <w:rPr>
          <w:rFonts w:ascii="Times New Roman" w:hAnsi="Times New Roman" w:cs="Times New Roman"/>
          <w:i/>
        </w:rPr>
        <w:t>La responsabilidad extracontractual del Estado no nace de un acto o contrato específico, sino que se origina en las obligaciones constitucionales de respetar, proteger y promover los derechos humanos; la de prestar servicios de calidad a sus asociados; y, las obligaciones adquiridas mediante la suscripción de instrumentos internacionales vinculantes en materia de derechos humanos(...)”</w:t>
      </w:r>
      <w:r w:rsidRPr="0067008A">
        <w:rPr>
          <w:rStyle w:val="Ancladenotaalpie"/>
          <w:rFonts w:ascii="Times New Roman" w:hAnsi="Times New Roman" w:cs="Times New Roman"/>
          <w:i/>
        </w:rPr>
        <w:footnoteReference w:id="10"/>
      </w:r>
    </w:p>
    <w:p w:rsidR="006A4D59" w:rsidRPr="0067008A" w:rsidRDefault="006A4D59" w:rsidP="00677E33">
      <w:pPr>
        <w:shd w:val="clear" w:color="auto" w:fill="FFFFFF"/>
        <w:spacing w:after="240" w:line="360" w:lineRule="auto"/>
        <w:jc w:val="both"/>
        <w:rPr>
          <w:rFonts w:ascii="Times New Roman" w:hAnsi="Times New Roman" w:cs="Times New Roman"/>
        </w:rPr>
      </w:pPr>
    </w:p>
    <w:p w:rsidR="006A4D59" w:rsidRPr="0067008A" w:rsidRDefault="00921711" w:rsidP="00677E33">
      <w:pPr>
        <w:spacing w:after="240" w:line="360" w:lineRule="auto"/>
        <w:jc w:val="both"/>
        <w:rPr>
          <w:rFonts w:ascii="Times New Roman" w:hAnsi="Times New Roman" w:cs="Times New Roman"/>
          <w:color w:val="202124"/>
        </w:rPr>
      </w:pPr>
      <w:r w:rsidRPr="0067008A">
        <w:rPr>
          <w:rFonts w:ascii="Times New Roman" w:hAnsi="Times New Roman" w:cs="Times New Roman"/>
          <w:color w:val="202124"/>
        </w:rPr>
        <w:t>La Constitución de la República establece en el artículo 11 numeral 9 que: “</w:t>
      </w:r>
      <w:r w:rsidRPr="0067008A">
        <w:rPr>
          <w:rFonts w:ascii="Times New Roman" w:hAnsi="Times New Roman" w:cs="Times New Roman"/>
          <w:i/>
          <w:color w:val="202124"/>
        </w:rPr>
        <w:t>el más alto deber del Estado consiste en respetar y hacer respetar los derechos garantizados en la Constitución”</w:t>
      </w:r>
      <w:r w:rsidRPr="0067008A">
        <w:rPr>
          <w:rFonts w:ascii="Times New Roman" w:hAnsi="Times New Roman" w:cs="Times New Roman"/>
          <w:color w:val="202124"/>
        </w:rPr>
        <w:t>, y en consecuencia, el Estado ejercerá de forma inmediata el derecho de repetición en contra de las personas responsables del daño producido, sin perjuicio de las responsabilidades civiles, penales y administrativas.</w:t>
      </w:r>
    </w:p>
    <w:p w:rsidR="006A4D59" w:rsidRPr="0067008A" w:rsidRDefault="006A4D59" w:rsidP="00677E33">
      <w:pPr>
        <w:spacing w:after="240" w:line="360" w:lineRule="auto"/>
        <w:jc w:val="both"/>
        <w:rPr>
          <w:rFonts w:ascii="Times New Roman" w:hAnsi="Times New Roman" w:cs="Times New Roman"/>
          <w:color w:val="202124"/>
        </w:rPr>
      </w:pPr>
    </w:p>
    <w:p w:rsidR="006A4D59" w:rsidRPr="0067008A" w:rsidRDefault="00921711" w:rsidP="00677E33">
      <w:pPr>
        <w:spacing w:after="240" w:line="360" w:lineRule="auto"/>
        <w:jc w:val="both"/>
        <w:rPr>
          <w:rFonts w:ascii="Times New Roman" w:hAnsi="Times New Roman" w:cs="Times New Roman"/>
          <w:color w:val="202124"/>
        </w:rPr>
      </w:pPr>
      <w:r w:rsidRPr="0067008A">
        <w:rPr>
          <w:rFonts w:ascii="Times New Roman" w:hAnsi="Times New Roman" w:cs="Times New Roman"/>
          <w:color w:val="202124"/>
        </w:rPr>
        <w:t>Como se puede apreciar el marco constitucional ecuatoriano, se remite a la teoría de la responsabilidad de manera clara y directa, para que todos sus agentes, dígase servidores públicos, ciñan sus actuaciones en el ejercicio de su potestad a garantizar el ejercicio de los derechos humanos de todos los habitantes, caso contrario, de ser responsable por su acción u omisión de vulnerar los derechos constitucionales, serán sujetos a reparar de manera integral por el daño ocasionado, lo que incluye, además, su responsabilidad civil, penal, administrativa y política, ésta última en virtud del cargo que ostentan.</w:t>
      </w:r>
    </w:p>
    <w:p w:rsidR="006A4D59" w:rsidRPr="0067008A" w:rsidRDefault="006A4D59" w:rsidP="00677E33">
      <w:pPr>
        <w:spacing w:after="240" w:line="360" w:lineRule="auto"/>
        <w:jc w:val="both"/>
        <w:rPr>
          <w:rFonts w:ascii="Times New Roman" w:hAnsi="Times New Roman" w:cs="Times New Roman"/>
          <w:color w:val="202124"/>
        </w:rPr>
      </w:pPr>
    </w:p>
    <w:p w:rsidR="006A4D59" w:rsidRPr="0067008A" w:rsidRDefault="00921711" w:rsidP="00677E33">
      <w:pPr>
        <w:spacing w:after="240" w:line="360" w:lineRule="auto"/>
        <w:jc w:val="both"/>
        <w:rPr>
          <w:rFonts w:ascii="Times New Roman" w:hAnsi="Times New Roman" w:cs="Times New Roman"/>
          <w:b/>
          <w:color w:val="202124"/>
        </w:rPr>
      </w:pPr>
      <w:r w:rsidRPr="0067008A">
        <w:rPr>
          <w:rFonts w:ascii="Times New Roman" w:hAnsi="Times New Roman" w:cs="Times New Roman"/>
          <w:b/>
          <w:color w:val="202124"/>
        </w:rPr>
        <w:t>Responsabilidad Política en el caso Pandora Papers</w:t>
      </w:r>
    </w:p>
    <w:p w:rsidR="006A4D59" w:rsidRPr="0067008A" w:rsidRDefault="006A4D59" w:rsidP="00677E33">
      <w:pPr>
        <w:spacing w:after="240" w:line="360" w:lineRule="auto"/>
        <w:jc w:val="both"/>
        <w:rPr>
          <w:rFonts w:ascii="Times New Roman" w:hAnsi="Times New Roman" w:cs="Times New Roman"/>
          <w:b/>
          <w:color w:val="202124"/>
        </w:rPr>
      </w:pPr>
    </w:p>
    <w:p w:rsidR="006A4D59" w:rsidRPr="0067008A" w:rsidRDefault="00921711" w:rsidP="00677E33">
      <w:pPr>
        <w:spacing w:after="240" w:line="360" w:lineRule="auto"/>
        <w:jc w:val="both"/>
        <w:rPr>
          <w:rFonts w:ascii="Times New Roman" w:hAnsi="Times New Roman" w:cs="Times New Roman"/>
          <w:color w:val="202124"/>
        </w:rPr>
      </w:pPr>
      <w:r w:rsidRPr="0067008A">
        <w:rPr>
          <w:rFonts w:ascii="Times New Roman" w:hAnsi="Times New Roman" w:cs="Times New Roman"/>
          <w:color w:val="202124"/>
        </w:rPr>
        <w:t>Según</w:t>
      </w:r>
      <w:r w:rsidRPr="0067008A">
        <w:rPr>
          <w:rFonts w:ascii="Times New Roman" w:hAnsi="Times New Roman" w:cs="Times New Roman"/>
          <w:b/>
          <w:color w:val="202124"/>
        </w:rPr>
        <w:t xml:space="preserve"> </w:t>
      </w:r>
      <w:r w:rsidRPr="0067008A">
        <w:rPr>
          <w:rFonts w:ascii="Times New Roman" w:hAnsi="Times New Roman" w:cs="Times New Roman"/>
          <w:color w:val="202124"/>
        </w:rPr>
        <w:t>Iván de la Garza Santos</w:t>
      </w:r>
      <w:r w:rsidRPr="0067008A">
        <w:rPr>
          <w:rStyle w:val="Ancladenotaalpie"/>
          <w:rFonts w:ascii="Times New Roman" w:hAnsi="Times New Roman" w:cs="Times New Roman"/>
          <w:color w:val="202124"/>
        </w:rPr>
        <w:footnoteReference w:id="11"/>
      </w:r>
      <w:r w:rsidRPr="0067008A">
        <w:rPr>
          <w:rFonts w:ascii="Times New Roman" w:hAnsi="Times New Roman" w:cs="Times New Roman"/>
          <w:color w:val="202124"/>
        </w:rPr>
        <w:t xml:space="preserve">, la responsabilidad política es la facultad que tiene el poder legislativo para censurar la gestión presidencial; este tipo de responsabilidad tiene como objetivo verificar si las acciones gubernamentales se encuentran en sintonía con los intereses de los mandantes, titulares de la soberanía. </w:t>
      </w:r>
    </w:p>
    <w:p w:rsidR="006A4D59" w:rsidRPr="0067008A" w:rsidRDefault="006A4D59" w:rsidP="00677E33">
      <w:pPr>
        <w:spacing w:after="240" w:line="360" w:lineRule="auto"/>
        <w:jc w:val="both"/>
        <w:rPr>
          <w:rFonts w:ascii="Times New Roman" w:hAnsi="Times New Roman" w:cs="Times New Roman"/>
          <w:color w:val="202124"/>
        </w:rPr>
      </w:pPr>
    </w:p>
    <w:p w:rsidR="006A4D59" w:rsidRPr="0067008A" w:rsidRDefault="00921711" w:rsidP="00677E33">
      <w:pPr>
        <w:spacing w:after="240" w:line="360" w:lineRule="auto"/>
        <w:jc w:val="both"/>
        <w:rPr>
          <w:rFonts w:ascii="Times New Roman" w:hAnsi="Times New Roman" w:cs="Times New Roman"/>
          <w:color w:val="202124"/>
        </w:rPr>
      </w:pPr>
      <w:r w:rsidRPr="0067008A">
        <w:rPr>
          <w:rFonts w:ascii="Times New Roman" w:hAnsi="Times New Roman" w:cs="Times New Roman"/>
          <w:color w:val="202124"/>
        </w:rPr>
        <w:t>En este sentido, Joaquín García Morillo</w:t>
      </w:r>
      <w:r w:rsidRPr="0067008A">
        <w:rPr>
          <w:rStyle w:val="Ancladenotaalpie"/>
          <w:rFonts w:ascii="Times New Roman" w:hAnsi="Times New Roman" w:cs="Times New Roman"/>
          <w:color w:val="202124"/>
        </w:rPr>
        <w:footnoteReference w:id="12"/>
      </w:r>
      <w:r w:rsidRPr="0067008A">
        <w:rPr>
          <w:rFonts w:ascii="Times New Roman" w:hAnsi="Times New Roman" w:cs="Times New Roman"/>
          <w:color w:val="202124"/>
        </w:rPr>
        <w:t>, define a la responsabilidad política así:</w:t>
      </w:r>
    </w:p>
    <w:p w:rsidR="006A4D59" w:rsidRPr="0067008A" w:rsidRDefault="006A4D59" w:rsidP="00677E33">
      <w:pPr>
        <w:spacing w:after="240" w:line="360" w:lineRule="auto"/>
        <w:jc w:val="both"/>
        <w:rPr>
          <w:rFonts w:ascii="Times New Roman" w:hAnsi="Times New Roman" w:cs="Times New Roman"/>
          <w:color w:val="202124"/>
        </w:rPr>
      </w:pPr>
    </w:p>
    <w:p w:rsidR="006A4D59" w:rsidRPr="0067008A" w:rsidRDefault="00921711" w:rsidP="00677E33">
      <w:pPr>
        <w:spacing w:after="240" w:line="360" w:lineRule="auto"/>
        <w:ind w:left="720"/>
        <w:jc w:val="both"/>
        <w:rPr>
          <w:rFonts w:ascii="Times New Roman" w:hAnsi="Times New Roman" w:cs="Times New Roman"/>
          <w:i/>
          <w:color w:val="202124"/>
        </w:rPr>
      </w:pPr>
      <w:r w:rsidRPr="0067008A">
        <w:rPr>
          <w:rFonts w:ascii="Times New Roman" w:hAnsi="Times New Roman" w:cs="Times New Roman"/>
          <w:i/>
          <w:color w:val="202124"/>
        </w:rPr>
        <w:t>“ La responsabilidad política, en realidad es pues, un útil invento para evitar la enojosa alternativa de tener que seguir soportando a un incompetente o, en caso contrario, no tener otra alternativa que encarcelarle. Su fin, es por lo tanto, desembarazarse del político indeseado, cualquiera sea la causa, sin más traume que ese, prescindir de él”</w:t>
      </w:r>
    </w:p>
    <w:p w:rsidR="006A4D59" w:rsidRPr="0067008A" w:rsidRDefault="006A4D59" w:rsidP="00677E33">
      <w:pPr>
        <w:spacing w:after="240" w:line="360" w:lineRule="auto"/>
        <w:jc w:val="both"/>
        <w:rPr>
          <w:rFonts w:ascii="Times New Roman" w:hAnsi="Times New Roman" w:cs="Times New Roman"/>
          <w:color w:val="202124"/>
        </w:rPr>
      </w:pPr>
    </w:p>
    <w:p w:rsidR="006A4D59" w:rsidRPr="0067008A" w:rsidRDefault="00921711" w:rsidP="00677E33">
      <w:pPr>
        <w:spacing w:after="240" w:line="360" w:lineRule="auto"/>
        <w:jc w:val="both"/>
        <w:rPr>
          <w:rFonts w:ascii="Times New Roman" w:hAnsi="Times New Roman" w:cs="Times New Roman"/>
          <w:color w:val="202124"/>
        </w:rPr>
      </w:pPr>
      <w:r w:rsidRPr="0067008A">
        <w:rPr>
          <w:rFonts w:ascii="Times New Roman" w:hAnsi="Times New Roman" w:cs="Times New Roman"/>
          <w:color w:val="202124"/>
        </w:rPr>
        <w:t>La Corte Constitucional, respecto de la responsabilidad política, en Sentencia No. 2137-21-EP /21 de 29 de septiembre de 202, señaló:</w:t>
      </w:r>
    </w:p>
    <w:p w:rsidR="006A4D59" w:rsidRPr="0067008A" w:rsidRDefault="006A4D59" w:rsidP="00677E33">
      <w:pPr>
        <w:spacing w:after="240" w:line="360" w:lineRule="auto"/>
        <w:jc w:val="both"/>
        <w:rPr>
          <w:rFonts w:ascii="Times New Roman" w:hAnsi="Times New Roman" w:cs="Times New Roman"/>
          <w:color w:val="202124"/>
        </w:rPr>
      </w:pPr>
    </w:p>
    <w:p w:rsidR="006A4D59" w:rsidRPr="0067008A" w:rsidRDefault="00921711" w:rsidP="00677E33">
      <w:pPr>
        <w:spacing w:after="240" w:line="360" w:lineRule="auto"/>
        <w:ind w:left="720"/>
        <w:jc w:val="both"/>
        <w:rPr>
          <w:rFonts w:ascii="Times New Roman" w:hAnsi="Times New Roman" w:cs="Times New Roman"/>
          <w:color w:val="202124"/>
        </w:rPr>
      </w:pPr>
      <w:r w:rsidRPr="0067008A">
        <w:rPr>
          <w:rFonts w:ascii="Times New Roman" w:hAnsi="Times New Roman" w:cs="Times New Roman"/>
          <w:color w:val="202124"/>
        </w:rPr>
        <w:t xml:space="preserve">“136. Derivado del reconocimiento constitucional de los principios de soberanía popular y representación política, </w:t>
      </w:r>
      <w:r w:rsidRPr="0067008A">
        <w:rPr>
          <w:rFonts w:ascii="Times New Roman" w:hAnsi="Times New Roman" w:cs="Times New Roman"/>
          <w:b/>
          <w:color w:val="202124"/>
        </w:rPr>
        <w:t>los gobernantes son responsables por el desempeño de sus funciones ante el pueblo soberano.</w:t>
      </w:r>
      <w:r w:rsidRPr="0067008A">
        <w:rPr>
          <w:rFonts w:ascii="Times New Roman" w:hAnsi="Times New Roman" w:cs="Times New Roman"/>
          <w:color w:val="202124"/>
        </w:rPr>
        <w:t xml:space="preserve"> </w:t>
      </w:r>
      <w:r w:rsidRPr="0067008A">
        <w:rPr>
          <w:rFonts w:ascii="Times New Roman" w:hAnsi="Times New Roman" w:cs="Times New Roman"/>
          <w:b/>
          <w:color w:val="202124"/>
        </w:rPr>
        <w:t xml:space="preserve">De esta forma, la acción de gobierno puede ser controlada no solo a través de mecanismos de responsabilidad jurídica y democracia directa, sino también de naturaleza política. </w:t>
      </w:r>
      <w:r w:rsidRPr="0067008A">
        <w:rPr>
          <w:rFonts w:ascii="Times New Roman" w:hAnsi="Times New Roman" w:cs="Times New Roman"/>
          <w:color w:val="202124"/>
        </w:rPr>
        <w:t xml:space="preserve">Para el efecto, la Constitución y la ley prevén mecanismos tanto de control jurídico como de control político, por medio de los cuales el pueblo puede responsabilizar políticamente a sus gobernantes, sea de forma directa mediante el sufragio activo o la revocatoria del mandato o, de forma indirecta, a través del órgano legislativo . Asimismo, el artículo 61 numeral 5 de la CRE reconoce como derecho de participación el “fiscalizar los actos del poder público” y los mecanismos de control político constituyen una forma de fiscalización. </w:t>
      </w:r>
    </w:p>
    <w:p w:rsidR="006A4D59" w:rsidRPr="0067008A" w:rsidRDefault="00921711" w:rsidP="00677E33">
      <w:pPr>
        <w:spacing w:after="240" w:line="360" w:lineRule="auto"/>
        <w:ind w:left="720"/>
        <w:jc w:val="both"/>
        <w:rPr>
          <w:rFonts w:ascii="Times New Roman" w:hAnsi="Times New Roman" w:cs="Times New Roman"/>
          <w:color w:val="202124"/>
        </w:rPr>
      </w:pPr>
      <w:r w:rsidRPr="0067008A">
        <w:rPr>
          <w:rFonts w:ascii="Times New Roman" w:hAnsi="Times New Roman" w:cs="Times New Roman"/>
          <w:color w:val="202124"/>
        </w:rPr>
        <w:t>137. Sin embargo, aunque ambos mecanismos jurídicos y políticos ejercen un control al poder, existen diferencias sustanciales entre ellos, principalmente, en relación con los órganos que los efectúan, el objeto de su control y su carácter.</w:t>
      </w:r>
      <w:r w:rsidR="00677E33" w:rsidRPr="0067008A">
        <w:rPr>
          <w:rFonts w:ascii="Times New Roman" w:hAnsi="Times New Roman" w:cs="Times New Roman"/>
          <w:color w:val="202124"/>
        </w:rPr>
        <w:t xml:space="preserve"> </w:t>
      </w:r>
      <w:r w:rsidRPr="0067008A">
        <w:rPr>
          <w:rFonts w:ascii="Times New Roman" w:hAnsi="Times New Roman" w:cs="Times New Roman"/>
          <w:color w:val="202124"/>
        </w:rPr>
        <w:t xml:space="preserve">Así, </w:t>
      </w:r>
      <w:r w:rsidRPr="0067008A">
        <w:rPr>
          <w:rFonts w:ascii="Times New Roman" w:hAnsi="Times New Roman" w:cs="Times New Roman"/>
          <w:b/>
          <w:color w:val="202124"/>
        </w:rPr>
        <w:t>el control político institucional es efectuado por órganos políticos en función de criterios de representación popular, mientras que el control jurídico es efectuado por jueces con conocimientos jurídicos especializados e investidos de jurisdicción.</w:t>
      </w:r>
      <w:r w:rsidRPr="0067008A">
        <w:rPr>
          <w:rFonts w:ascii="Times New Roman" w:hAnsi="Times New Roman" w:cs="Times New Roman"/>
          <w:color w:val="202124"/>
        </w:rPr>
        <w:t xml:space="preserve"> Asimismo, mientras en el control político se fiscaliza al órgano mediante su actuación política general, en el control jurídico se examina el acto impugnado en sí mismo considerado, sin que exista una particular atención al órgano. Finalmente, </w:t>
      </w:r>
      <w:r w:rsidRPr="0067008A">
        <w:rPr>
          <w:rFonts w:ascii="Times New Roman" w:hAnsi="Times New Roman" w:cs="Times New Roman"/>
          <w:b/>
          <w:color w:val="202124"/>
        </w:rPr>
        <w:t xml:space="preserve">el control político es, esencialmente, de carácter subjetivo en cuanto se fundamenta en criterios de libre apreciación, oportunidad y confianza política -dentro de las causales y requerimientos previstos en el ordenamiento jurídico-, mientras que el control jurídico es de carácter objetivo en cuanto el juzgador se encuentra sujeto al Derecho, al ordenamiento jurídico preestablecido y a la técnica jurídica </w:t>
      </w:r>
      <w:r w:rsidRPr="0067008A">
        <w:rPr>
          <w:rFonts w:ascii="Times New Roman" w:hAnsi="Times New Roman" w:cs="Times New Roman"/>
          <w:color w:val="202124"/>
        </w:rPr>
        <w:t xml:space="preserve">. </w:t>
      </w:r>
    </w:p>
    <w:p w:rsidR="006A4D59" w:rsidRPr="0067008A" w:rsidRDefault="00921711" w:rsidP="00677E33">
      <w:pPr>
        <w:spacing w:after="240" w:line="360" w:lineRule="auto"/>
        <w:ind w:left="720"/>
        <w:jc w:val="both"/>
        <w:rPr>
          <w:rFonts w:ascii="Times New Roman" w:hAnsi="Times New Roman" w:cs="Times New Roman"/>
          <w:color w:val="202124"/>
        </w:rPr>
      </w:pPr>
      <w:r w:rsidRPr="0067008A">
        <w:rPr>
          <w:rFonts w:ascii="Times New Roman" w:hAnsi="Times New Roman" w:cs="Times New Roman"/>
          <w:color w:val="202124"/>
        </w:rPr>
        <w:t xml:space="preserve">138. Ahora bien, aun cuando han quedado establecidas las sustanciales diferencias entre los procesos judiciales y políticos, aquello no implica que estos últimos no estén sometidos a la Constitución. En esa línea, y teniendo en cuenta los argumentos vertidos en este caso, cabe destacar que el debido proceso constituye un derecho que garantiza que las partes dentro de cualquier proceso, en el que se determinen derechos y obligaciones en igualdad de condiciones, puedan exponer sus posiciones, presentar sus argumentos o las pruebas que respalden sus pretensiones, y ser escuchadas. Esta Corte ha determinado que “la posibilidad de defenderse ha sido definida como el derecho que tiene todo aquel cuyos derechos e intereses sean objeto de discusión dentro de un procedimiento, ya sea judicial, administrativo o de cualquier índole, para acceder al sistema procesal y hacer valer sus derechos respecto de este; en aquel sentido supone iguales condiciones y oportunidades de las partes involucradas en el proceso para ser debidamente escuchadas” . </w:t>
      </w:r>
    </w:p>
    <w:p w:rsidR="006A4D59" w:rsidRPr="0067008A" w:rsidRDefault="00921711" w:rsidP="00677E33">
      <w:pPr>
        <w:spacing w:after="240" w:line="360" w:lineRule="auto"/>
        <w:ind w:left="720"/>
        <w:jc w:val="both"/>
        <w:rPr>
          <w:rFonts w:ascii="Times New Roman" w:hAnsi="Times New Roman" w:cs="Times New Roman"/>
          <w:color w:val="202124"/>
        </w:rPr>
      </w:pPr>
      <w:r w:rsidRPr="0067008A">
        <w:rPr>
          <w:rFonts w:ascii="Times New Roman" w:hAnsi="Times New Roman" w:cs="Times New Roman"/>
          <w:color w:val="202124"/>
        </w:rPr>
        <w:t xml:space="preserve">139. Por lo que, dentro de procesos de control político, también se requiere de garantías básicas, pertinentes y adecuadas de defensa que permitan la igualdad de armas y garanticen el desarrollo apropiado del procedimiento, previo a la decisión del órgano que ejerce el control político. No obstante, esto no significa automáticamente que todas las garantías previstas en el artículo 76 de la Constitución deban ser aplicables en la misma medida o asimilables directamente en un proceso de control político, pues por la naturaleza propia de estos no se puede manejar un estándar igual ni rígido al que se maneja en un proceso jurisdiccional. </w:t>
      </w:r>
    </w:p>
    <w:p w:rsidR="006A4D59" w:rsidRPr="0067008A" w:rsidRDefault="00921711" w:rsidP="00677E33">
      <w:pPr>
        <w:spacing w:after="240" w:line="360" w:lineRule="auto"/>
        <w:ind w:left="720"/>
        <w:jc w:val="both"/>
        <w:rPr>
          <w:rFonts w:ascii="Times New Roman" w:hAnsi="Times New Roman" w:cs="Times New Roman"/>
          <w:color w:val="202124"/>
        </w:rPr>
      </w:pPr>
      <w:r w:rsidRPr="0067008A">
        <w:rPr>
          <w:rFonts w:ascii="Times New Roman" w:hAnsi="Times New Roman" w:cs="Times New Roman"/>
          <w:color w:val="202124"/>
        </w:rPr>
        <w:t>140. Además, dado que estos inciden en la continuidad y permanencia en el cargo de una autoridad que, incluso, fue elegida por el voto popular para un periodo determinado y que, en principio, puede tener repercusiones en el derecho de los electores de elegir a sus representantes y en la representación democrática por ellos entregada a la autoridad elegida, con más razón debe garantizar elementos básicos del debido proceso constitucional para garantizar la transparencia y la legitimidad del proceso.”</w:t>
      </w:r>
    </w:p>
    <w:p w:rsidR="006A4D59" w:rsidRPr="0067008A" w:rsidRDefault="006A4D59" w:rsidP="00677E33">
      <w:pPr>
        <w:spacing w:after="240" w:line="360" w:lineRule="auto"/>
        <w:jc w:val="both"/>
        <w:rPr>
          <w:rFonts w:ascii="Times New Roman" w:hAnsi="Times New Roman" w:cs="Times New Roman"/>
          <w:color w:val="202124"/>
        </w:rPr>
      </w:pPr>
    </w:p>
    <w:p w:rsidR="006A4D59" w:rsidRPr="0067008A" w:rsidRDefault="00921711" w:rsidP="00677E33">
      <w:pPr>
        <w:spacing w:after="240" w:line="360" w:lineRule="auto"/>
        <w:jc w:val="both"/>
        <w:rPr>
          <w:rFonts w:ascii="Times New Roman" w:hAnsi="Times New Roman" w:cs="Times New Roman"/>
          <w:color w:val="202124"/>
        </w:rPr>
      </w:pPr>
      <w:r w:rsidRPr="0067008A">
        <w:rPr>
          <w:rFonts w:ascii="Times New Roman" w:hAnsi="Times New Roman" w:cs="Times New Roman"/>
          <w:color w:val="202124"/>
        </w:rPr>
        <w:t xml:space="preserve">De lo citado podemos inferir cuatro elementos que caracterizan a la responsabilidad política: i) es un mecanismo de control a la gestión del poder ejecutivo realizada por la función legislativa ii) la responsabilidad política se sustenta en tres principios: </w:t>
      </w:r>
      <w:r w:rsidRPr="0067008A">
        <w:rPr>
          <w:rFonts w:ascii="Times New Roman" w:hAnsi="Times New Roman" w:cs="Times New Roman"/>
          <w:b/>
          <w:color w:val="202124"/>
        </w:rPr>
        <w:t>l</w:t>
      </w:r>
      <w:r w:rsidRPr="0067008A">
        <w:rPr>
          <w:rFonts w:ascii="Times New Roman" w:hAnsi="Times New Roman" w:cs="Times New Roman"/>
          <w:color w:val="202124"/>
        </w:rPr>
        <w:t>ibre apreciación, oportunidad y confianza política, lo que implica que la determinación de la responsabilidad política que el parlamento obedece a la determinación de un incumplimiento grave, sin la necesidad de acusación por el cometimiento de un delito o de la existencia de sentencia penal previa; iii) El control político, por su naturaleza, es subjetivo, es decir, que el legislador tiene amplia facultad para determinar los criterios de incumplimiento y de pérdida de confianza, se trata de una ponderación a la legitimidad de la acción presidencial, no de un control de legalidad que corresponde a la vía jurisdiccional iv) en el proceso de control político se deben observar las garantías del debido proceso.</w:t>
      </w:r>
    </w:p>
    <w:p w:rsidR="006A4D59" w:rsidRPr="0067008A" w:rsidRDefault="00921711" w:rsidP="00677E33">
      <w:pPr>
        <w:spacing w:after="240" w:line="360" w:lineRule="auto"/>
        <w:jc w:val="both"/>
        <w:rPr>
          <w:rFonts w:ascii="Times New Roman" w:hAnsi="Times New Roman" w:cs="Times New Roman"/>
          <w:color w:val="202124"/>
        </w:rPr>
      </w:pPr>
      <w:r w:rsidRPr="0067008A">
        <w:rPr>
          <w:rFonts w:ascii="Times New Roman" w:hAnsi="Times New Roman" w:cs="Times New Roman"/>
          <w:color w:val="202124"/>
        </w:rPr>
        <w:t>En este contexto, la vigente Constitución, establece dos mecanismos de control político de la Asamblea Nacional al Presidente de la República: el juicio político (artículo 129) y la destitución (artículo 130)</w:t>
      </w:r>
      <w:r w:rsidRPr="0067008A">
        <w:rPr>
          <w:rStyle w:val="Ancladenotaalpie"/>
          <w:rFonts w:ascii="Times New Roman" w:hAnsi="Times New Roman" w:cs="Times New Roman"/>
          <w:color w:val="202124"/>
        </w:rPr>
        <w:footnoteReference w:id="13"/>
      </w:r>
      <w:r w:rsidRPr="0067008A">
        <w:rPr>
          <w:rFonts w:ascii="Times New Roman" w:hAnsi="Times New Roman" w:cs="Times New Roman"/>
          <w:color w:val="202124"/>
        </w:rPr>
        <w:t xml:space="preserve">. </w:t>
      </w:r>
    </w:p>
    <w:p w:rsidR="006A4D59" w:rsidRPr="0067008A" w:rsidRDefault="00921711" w:rsidP="00677E33">
      <w:pPr>
        <w:spacing w:after="240" w:line="360" w:lineRule="auto"/>
        <w:jc w:val="both"/>
        <w:rPr>
          <w:rFonts w:ascii="Times New Roman" w:hAnsi="Times New Roman" w:cs="Times New Roman"/>
          <w:color w:val="202124"/>
        </w:rPr>
      </w:pPr>
      <w:r w:rsidRPr="0067008A">
        <w:rPr>
          <w:rFonts w:ascii="Times New Roman" w:hAnsi="Times New Roman" w:cs="Times New Roman"/>
          <w:color w:val="202124"/>
        </w:rPr>
        <w:t>Estos dos mecanismos de control político se encuentran sujetos a los estándares establecidos por la Corte Constitucional, y que fueron antes referidos, lo que implica que la configuración de estas causales se encuentran sujetos a la aplicación de los principios de:</w:t>
      </w:r>
      <w:r w:rsidR="00677E33" w:rsidRPr="0067008A">
        <w:rPr>
          <w:rFonts w:ascii="Times New Roman" w:hAnsi="Times New Roman" w:cs="Times New Roman"/>
          <w:color w:val="202124"/>
        </w:rPr>
        <w:t xml:space="preserve"> </w:t>
      </w:r>
      <w:r w:rsidRPr="0067008A">
        <w:rPr>
          <w:rFonts w:ascii="Times New Roman" w:hAnsi="Times New Roman" w:cs="Times New Roman"/>
          <w:color w:val="202124"/>
        </w:rPr>
        <w:t>i) libre apreciación, entendido como la fijación de los criterios para el proceso de investigación y validación, sujeto a la sana crítica, por parte de la autoridad o cuerpo colegiado que juzga; ii) oportunidad, entendido como la facultad que tienen las autoridades juzgadoras de aplicar una sanción, en mérito del proceso de investigación; iii) confianza política, entendida como la afectación a la</w:t>
      </w:r>
      <w:r w:rsidR="00677E33" w:rsidRPr="0067008A">
        <w:rPr>
          <w:rFonts w:ascii="Times New Roman" w:hAnsi="Times New Roman" w:cs="Times New Roman"/>
          <w:color w:val="202124"/>
        </w:rPr>
        <w:t xml:space="preserve"> </w:t>
      </w:r>
      <w:r w:rsidRPr="0067008A">
        <w:rPr>
          <w:rFonts w:ascii="Times New Roman" w:hAnsi="Times New Roman" w:cs="Times New Roman"/>
          <w:color w:val="202124"/>
        </w:rPr>
        <w:t>legitimidad democrática del Presidente de la República a causa de un proceso de control político.</w:t>
      </w:r>
    </w:p>
    <w:p w:rsidR="006A4D59" w:rsidRPr="0067008A" w:rsidRDefault="00921711" w:rsidP="00677E33">
      <w:pPr>
        <w:spacing w:after="240" w:line="360" w:lineRule="auto"/>
        <w:jc w:val="both"/>
        <w:rPr>
          <w:rFonts w:ascii="Times New Roman" w:hAnsi="Times New Roman" w:cs="Times New Roman"/>
          <w:color w:val="202124"/>
        </w:rPr>
      </w:pPr>
      <w:r w:rsidRPr="0067008A">
        <w:rPr>
          <w:rFonts w:ascii="Times New Roman" w:hAnsi="Times New Roman" w:cs="Times New Roman"/>
          <w:color w:val="202124"/>
        </w:rPr>
        <w:t>En el presente caso, la Comisión Permanente de Garantías Constitucionales y Derechos Colectivos, desarrolló una metodología de investigación orientada a: i) acoger los criterios de expertos, académicos e intelectuales, versados en las áreas de evasión tributaria y lucha contra los paraísos fiscales ii) obtener la comparecencia</w:t>
      </w:r>
      <w:r w:rsidR="00677E33" w:rsidRPr="0067008A">
        <w:rPr>
          <w:rFonts w:ascii="Times New Roman" w:hAnsi="Times New Roman" w:cs="Times New Roman"/>
          <w:color w:val="202124"/>
        </w:rPr>
        <w:t xml:space="preserve"> </w:t>
      </w:r>
      <w:r w:rsidRPr="0067008A">
        <w:rPr>
          <w:rFonts w:ascii="Times New Roman" w:hAnsi="Times New Roman" w:cs="Times New Roman"/>
          <w:color w:val="202124"/>
        </w:rPr>
        <w:t>del Presidente de la República y de su familia para garantizar el ejercicio del derecho a la defensa iii) comparecencia de instituciones públicas para la exposición de la información pública relacionada con el caso Pandora Papers.</w:t>
      </w:r>
    </w:p>
    <w:p w:rsidR="006A4D59" w:rsidRPr="0067008A" w:rsidRDefault="00921711" w:rsidP="00677E33">
      <w:pPr>
        <w:spacing w:after="240" w:line="360" w:lineRule="auto"/>
        <w:jc w:val="both"/>
        <w:rPr>
          <w:rFonts w:ascii="Times New Roman" w:hAnsi="Times New Roman" w:cs="Times New Roman"/>
          <w:color w:val="202124"/>
        </w:rPr>
      </w:pPr>
      <w:r w:rsidRPr="0067008A">
        <w:rPr>
          <w:rFonts w:ascii="Times New Roman" w:hAnsi="Times New Roman" w:cs="Times New Roman"/>
          <w:color w:val="202124"/>
        </w:rPr>
        <w:t>El segundo principio es la confianza política, es decir, es labor de la Comisión determinar si la vinculación del Presidente de la República en el caso Pandora Papers afectó, irreversiblemente, la legitimidad democrática del primer mandatario.</w:t>
      </w:r>
    </w:p>
    <w:p w:rsidR="006A4D59" w:rsidRPr="0067008A" w:rsidRDefault="00921711" w:rsidP="00677E33">
      <w:pPr>
        <w:spacing w:after="240" w:line="360" w:lineRule="auto"/>
        <w:jc w:val="both"/>
        <w:rPr>
          <w:rFonts w:ascii="Times New Roman" w:hAnsi="Times New Roman" w:cs="Times New Roman"/>
          <w:color w:val="202124"/>
        </w:rPr>
      </w:pPr>
      <w:r w:rsidRPr="0067008A">
        <w:rPr>
          <w:rFonts w:ascii="Times New Roman" w:hAnsi="Times New Roman" w:cs="Times New Roman"/>
          <w:color w:val="202124"/>
        </w:rPr>
        <w:t>Finalmente, si se cumplen estos dos principios, la consecuencia jurídica será el hallazgo de responsabilidad política del primer mandatario por el incumplimiento al pacto ético, aprobado en el 2017 por el pueblo en las urnas.</w:t>
      </w:r>
    </w:p>
    <w:p w:rsidR="006A4D59" w:rsidRPr="0067008A" w:rsidRDefault="00921711" w:rsidP="00677E33">
      <w:pPr>
        <w:spacing w:after="240" w:line="360" w:lineRule="auto"/>
        <w:jc w:val="both"/>
        <w:rPr>
          <w:rFonts w:ascii="Times New Roman" w:hAnsi="Times New Roman" w:cs="Times New Roman"/>
          <w:color w:val="202124"/>
        </w:rPr>
      </w:pPr>
      <w:r w:rsidRPr="0067008A">
        <w:rPr>
          <w:rFonts w:ascii="Times New Roman" w:hAnsi="Times New Roman" w:cs="Times New Roman"/>
          <w:color w:val="202124"/>
        </w:rPr>
        <w:t>En el presente caso, esta Comisión considera que existen elementos que configuran responsabilidad política por las siguientes razones: i) el incumplimiento del pacto ético 2017, por parte de Guillermo Lasso Mendoza al ejercer hasta la actualidad dominio indirecto sobre sus empresas offshore ii) el conflicto de intereses del presidente Guillermo Lasso en el proyecto de ley de reformas tributarias (Ley de Oportunidades) por plantear la eliminación del impuesto a la herencia y la creación del impuesto a la regularización de activos en el Ecuador, con el que pretende legalizar la salida de divisas del Ecuador.</w:t>
      </w:r>
    </w:p>
    <w:p w:rsidR="006A4D59" w:rsidRPr="00CC67C2" w:rsidRDefault="00921711" w:rsidP="00677E33">
      <w:pPr>
        <w:spacing w:after="240" w:line="360" w:lineRule="auto"/>
        <w:jc w:val="both"/>
        <w:rPr>
          <w:rFonts w:ascii="Times New Roman" w:hAnsi="Times New Roman" w:cs="Times New Roman"/>
          <w:b/>
          <w:bCs/>
          <w:color w:val="000000"/>
        </w:rPr>
      </w:pPr>
      <w:r w:rsidRPr="00CC67C2">
        <w:rPr>
          <w:rFonts w:ascii="Times New Roman" w:hAnsi="Times New Roman" w:cs="Times New Roman"/>
          <w:b/>
          <w:bCs/>
          <w:color w:val="000000"/>
        </w:rPr>
        <w:t>Responsabilidad Electoral en el caso Pandora Papers</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Otro aspecto importante de análisis respecto a la investigación realizada por la Comisión se refiere a la responsabilidad electoral de Guillermo Lasso y la actuación de los organismos electorales encaminadas a garantizar los principios democráticos, dentro de los cuales se encuentra salvaguardar la voluntad popular, la cual se vería burlada en el caso que se permita la participación de personas incursas en alguna inhabilidad para ser candidato.</w:t>
      </w:r>
    </w:p>
    <w:p w:rsidR="006A4D59" w:rsidRPr="0067008A" w:rsidRDefault="00921711" w:rsidP="00677E33">
      <w:pPr>
        <w:spacing w:after="240" w:line="360" w:lineRule="auto"/>
        <w:jc w:val="both"/>
        <w:rPr>
          <w:rFonts w:ascii="Times New Roman" w:hAnsi="Times New Roman" w:cs="Times New Roman"/>
          <w:color w:val="212121"/>
        </w:rPr>
      </w:pPr>
      <w:r w:rsidRPr="0067008A">
        <w:rPr>
          <w:rFonts w:ascii="Times New Roman" w:hAnsi="Times New Roman" w:cs="Times New Roman"/>
          <w:color w:val="212121"/>
        </w:rPr>
        <w:t>En esa línea comparecieron dentro del proceso de investigación de los Pandora Papers las autoridades electorales, la presidenta del Consejo Nacional Electoral, Ing. Diana Atamaint, y la vicepresidenta del Tribunal Contencioso Electoral, Dra. Patricia Guaicha quienes proporcionaron información respecto de la calificación del binomio presidencial de la Alianza PSC-CREO, conformada por Guillermo Lasso Mendoza y Alfredo Borrero Vega, la objeción presentada por la Alianza UNES y la causa No. 090-2020-TCE sobre el recurso subjetivo contencioso electoral presentado en contra de la Resolución No. PLE-CNE-6-30-9-2020 del Pleno del Consejo Nacional Electoral.</w:t>
      </w:r>
    </w:p>
    <w:p w:rsidR="006A4D59" w:rsidRPr="0067008A" w:rsidRDefault="006A4D59" w:rsidP="00677E33">
      <w:pPr>
        <w:spacing w:after="240" w:line="360" w:lineRule="auto"/>
        <w:jc w:val="both"/>
        <w:rPr>
          <w:rFonts w:ascii="Times New Roman" w:hAnsi="Times New Roman" w:cs="Times New Roman"/>
          <w:color w:val="212121"/>
        </w:rPr>
      </w:pPr>
    </w:p>
    <w:p w:rsidR="006A4D59" w:rsidRPr="0067008A" w:rsidRDefault="00921711" w:rsidP="00677E33">
      <w:pPr>
        <w:spacing w:after="240" w:line="360" w:lineRule="auto"/>
        <w:jc w:val="both"/>
        <w:rPr>
          <w:rFonts w:ascii="Times New Roman" w:hAnsi="Times New Roman" w:cs="Times New Roman"/>
          <w:color w:val="212121"/>
        </w:rPr>
      </w:pPr>
      <w:r w:rsidRPr="0067008A">
        <w:rPr>
          <w:rFonts w:ascii="Times New Roman" w:hAnsi="Times New Roman" w:cs="Times New Roman"/>
          <w:color w:val="212121"/>
        </w:rPr>
        <w:t>Esta información resulta relevante porque nos permite conocer las acciones realizadas por los organismos electorales para el cumplimiento del Pacto Ético recogido en la Ley Orgánica de Aplicación de la Consulta Popular Efectuada el 19 de febrero de 2017 que reformó dos artículos del Código de la Democracia, incluyendo como inhabilidad para ser candidato de elección popular en el artículo 96 el siguiente numeral 9: “Quienes tengan bienes o capitales, de cualquier naturaleza, en paraísos fiscales”.</w:t>
      </w:r>
    </w:p>
    <w:p w:rsidR="006A4D59" w:rsidRPr="0067008A" w:rsidRDefault="006A4D59" w:rsidP="00677E33">
      <w:pPr>
        <w:spacing w:after="240" w:line="360" w:lineRule="auto"/>
        <w:jc w:val="both"/>
        <w:rPr>
          <w:rFonts w:ascii="Times New Roman" w:hAnsi="Times New Roman" w:cs="Times New Roman"/>
          <w:color w:val="212121"/>
        </w:rPr>
      </w:pPr>
    </w:p>
    <w:p w:rsidR="006A4D59" w:rsidRPr="0067008A" w:rsidRDefault="00921711" w:rsidP="00677E33">
      <w:pPr>
        <w:spacing w:after="240" w:line="360" w:lineRule="auto"/>
        <w:jc w:val="both"/>
        <w:rPr>
          <w:rFonts w:ascii="Times New Roman" w:hAnsi="Times New Roman" w:cs="Times New Roman"/>
          <w:color w:val="212121"/>
        </w:rPr>
      </w:pPr>
      <w:r w:rsidRPr="0067008A">
        <w:rPr>
          <w:rFonts w:ascii="Times New Roman" w:hAnsi="Times New Roman" w:cs="Times New Roman"/>
          <w:color w:val="212121"/>
        </w:rPr>
        <w:t>Ello implica que uno de los primeros filtros para verificar que los aspirantes a un cargo de elección popular cumplan con los requisitos y no estén incursos en las inhabilidades para ser servidor público es el Consejo Nacional Electoral. De ahí la importancia de los organismos electorales que permiten garantizar que la voluntad popular sea respetada, eligiendo a personas idóneas para cumplir el cargo público en caso de ganar las elecciones.</w:t>
      </w:r>
    </w:p>
    <w:p w:rsidR="006A4D59" w:rsidRPr="0067008A" w:rsidRDefault="006A4D59" w:rsidP="00677E33">
      <w:pPr>
        <w:spacing w:after="240" w:line="360" w:lineRule="auto"/>
        <w:jc w:val="both"/>
        <w:rPr>
          <w:rFonts w:ascii="Times New Roman" w:hAnsi="Times New Roman" w:cs="Times New Roman"/>
          <w:color w:val="212121"/>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color w:val="212121"/>
        </w:rPr>
        <w:t>Resulta realmente grave que una persona incursa en una inhabilidad para ser candidato y por tanto servidor público pueda participar en un proceso electoral y ganar las mismas. Una situación así constituye una grave afectación a la voluntad democrática del pueblo, pues ello implicaría que ese dignatario debería ser separado posteriormente del cargo. Por ello los procesos que realiza el CNE son vitales para la estabilidad democrática, pues su función no solo se centra en garantizar una elección transparente, sino que los candidatos cumplan con los mínimos constitucionales y legales para ejercer sus funciones. Este no resulta ser un tema menor en la medida que por los principios que rigen el Derecho Electoral, en especial el de preclusión que según la Sentencia No. 797-2011-TCE implica que:</w:t>
      </w:r>
    </w:p>
    <w:p w:rsidR="006A4D59" w:rsidRPr="0067008A" w:rsidRDefault="00921711" w:rsidP="00677E33">
      <w:pPr>
        <w:spacing w:after="240" w:line="360" w:lineRule="auto"/>
        <w:jc w:val="both"/>
        <w:rPr>
          <w:rFonts w:ascii="Times New Roman" w:hAnsi="Times New Roman" w:cs="Times New Roman"/>
          <w:color w:val="212121"/>
        </w:rPr>
      </w:pPr>
      <w:r w:rsidRPr="0067008A">
        <w:rPr>
          <w:rFonts w:ascii="Times New Roman" w:hAnsi="Times New Roman" w:cs="Times New Roman"/>
          <w:color w:val="212121"/>
        </w:rPr>
        <w:t xml:space="preserve"> </w:t>
      </w:r>
    </w:p>
    <w:p w:rsidR="006A4D59" w:rsidRPr="0067008A" w:rsidRDefault="00921711" w:rsidP="00677E33">
      <w:pPr>
        <w:spacing w:after="240" w:line="360" w:lineRule="auto"/>
        <w:ind w:left="720"/>
        <w:jc w:val="both"/>
        <w:rPr>
          <w:rFonts w:ascii="Times New Roman" w:hAnsi="Times New Roman" w:cs="Times New Roman"/>
        </w:rPr>
      </w:pPr>
      <w:r w:rsidRPr="0067008A">
        <w:rPr>
          <w:rFonts w:ascii="Times New Roman" w:hAnsi="Times New Roman" w:cs="Times New Roman"/>
          <w:color w:val="212121"/>
        </w:rPr>
        <w:t>“el proceso electoral constituye una unidad dividida por etapas, ordenada secuencialmente. En este sentido, el fin de una de ellas permite o produce la apertura de la inmediata siguiente, por lo que una vez cerrada una etapa del proceso electoral no existe la posibilidad de reabrirla, por lo que los recursos contencioso electorales deben ser activados de forma oportuna. El principio de preclusión comparte su contenido normativo con el denominado principio de definitividad de las etapas que integran el proceso electoral”.</w:t>
      </w:r>
    </w:p>
    <w:p w:rsidR="006A4D59" w:rsidRPr="0067008A" w:rsidRDefault="006A4D59" w:rsidP="00677E33">
      <w:pPr>
        <w:spacing w:after="240" w:line="360" w:lineRule="auto"/>
        <w:ind w:left="720"/>
        <w:jc w:val="both"/>
        <w:rPr>
          <w:rFonts w:ascii="Times New Roman" w:hAnsi="Times New Roman" w:cs="Times New Roman"/>
          <w:color w:val="212121"/>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color w:val="212121"/>
        </w:rPr>
        <w:t>Es una afectación al sistema democrático el permitir que las siguientes fases del proceso electoral se aperturen sin que en la fase previa no se adopten todos los recaudos para garantizar que se cumplan los objetivos. En el caso de la fase de calificación de las candidaturas su objetivo es asegurar que las personas que buscan participar en la lid electoral cumplan los requisitos y no se encuentren incursos en ninguna inhabilidad. Lo anterior significa que en orden a garantizar la estabilidad democrática, la voluntad popular expresada en las urnas y la institucionalidad del país se debe hacer una verificación exhaustiva para que los candidatos electos sean idóneos para ocupar sus cargos, caso contrario la falta de legitimidad de alguien incurso en una inhabilidad podría afectar la misma estabilidad democrática, pues ello vulnera la Constitución y la voluntad soberana del pueblo que aprobó el pacto ético.</w:t>
      </w:r>
    </w:p>
    <w:p w:rsidR="006A4D59" w:rsidRPr="0067008A" w:rsidRDefault="006A4D59" w:rsidP="00677E33">
      <w:pPr>
        <w:spacing w:after="240" w:line="360" w:lineRule="auto"/>
        <w:jc w:val="both"/>
        <w:rPr>
          <w:rFonts w:ascii="Times New Roman" w:hAnsi="Times New Roman" w:cs="Times New Roman"/>
          <w:color w:val="212121"/>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color w:val="212121"/>
        </w:rPr>
        <w:t>Lamentablemente en la intervención realizada por la Presidenta del Consejo Nacional Electoral, Diana Atamaint, reconoció ante la Comisión de Garantías Constitucionales, Derechos Humanos, Derechos Colectivos y la Interculturalidad, que el tiempo para la verificación de los requisitos e inhabilidades de los candidatos es muy escaso, por lo que dependen de las objeciones de las organizaciones políticas para poder resolver estos temas. En el caso específico de la inhabilidad contemplada en el artículo 96, numeral 9 del Código de la Democracia la única constancia que verifica el Consejo Nacional Electoral es la presentación de una declaración juramentada ante Notario Público en la que indican que no se encuentran incursos en las prohibiciones previstas en la Ley Orgánica para la Aplicación de la Consulta Popular efectuada el 19 de febrero del 2017, según el inciso final del artículo 95 del Código de la Democracia. Sobre este tema Diana Atamaint dijo:</w:t>
      </w:r>
    </w:p>
    <w:p w:rsidR="006A4D59" w:rsidRPr="0067008A" w:rsidRDefault="006A4D59" w:rsidP="00677E33">
      <w:pPr>
        <w:spacing w:after="240" w:line="360" w:lineRule="auto"/>
        <w:jc w:val="both"/>
        <w:rPr>
          <w:rFonts w:ascii="Times New Roman" w:hAnsi="Times New Roman" w:cs="Times New Roman"/>
          <w:color w:val="212121"/>
        </w:rPr>
      </w:pPr>
    </w:p>
    <w:p w:rsidR="006A4D59" w:rsidRPr="0067008A" w:rsidRDefault="00921711" w:rsidP="00677E33">
      <w:pPr>
        <w:spacing w:after="240" w:line="360" w:lineRule="auto"/>
        <w:ind w:left="700"/>
        <w:jc w:val="both"/>
        <w:rPr>
          <w:rFonts w:ascii="Times New Roman" w:hAnsi="Times New Roman" w:cs="Times New Roman"/>
        </w:rPr>
      </w:pPr>
      <w:r w:rsidRPr="0067008A">
        <w:rPr>
          <w:rFonts w:ascii="Times New Roman" w:hAnsi="Times New Roman" w:cs="Times New Roman"/>
          <w:color w:val="212121"/>
        </w:rPr>
        <w:t>“El control que a nosotros nos da la potestad el Código de la Democracia es precisamente ampararnos en la declaración juramentada que exige la misma ley, ese es el control que nosotros tenemos y luego sobre las objeciones como ya le acabo ya de manifestar.”</w:t>
      </w:r>
    </w:p>
    <w:p w:rsidR="006A4D59" w:rsidRPr="0067008A" w:rsidRDefault="006A4D59" w:rsidP="00677E33">
      <w:pPr>
        <w:spacing w:after="240" w:line="360" w:lineRule="auto"/>
        <w:ind w:left="700"/>
        <w:jc w:val="both"/>
        <w:rPr>
          <w:rFonts w:ascii="Times New Roman" w:hAnsi="Times New Roman" w:cs="Times New Roman"/>
          <w:color w:val="212121"/>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color w:val="212121"/>
        </w:rPr>
        <w:t>Bajo esta lógica el organismo electoral no realiza ninguna comprobación respecto al contenido de dicha declaración juramentada, por lo que es posible que una persona incursa en una inhabilidad como la de tener bienes en paraísos fiscales pueda participar en el proceso electoral, ganar las elecciones y ocupar un cargo público. No obstante, existen normas en el Cödigo de la Democracia que le permiten al Consejo Nacional Electoral acceder a información necesaria para garantizar que los candidatos no estén incursos en ninguna inhabilidad, por ejemplo el artículo 21 que dispone:</w:t>
      </w:r>
    </w:p>
    <w:p w:rsidR="006A4D59" w:rsidRPr="0067008A" w:rsidRDefault="006A4D59" w:rsidP="00677E33">
      <w:pPr>
        <w:spacing w:after="240" w:line="360" w:lineRule="auto"/>
        <w:jc w:val="both"/>
        <w:rPr>
          <w:rFonts w:ascii="Times New Roman" w:hAnsi="Times New Roman" w:cs="Times New Roman"/>
          <w:color w:val="212121"/>
        </w:rPr>
      </w:pPr>
    </w:p>
    <w:p w:rsidR="006A4D59" w:rsidRPr="0067008A" w:rsidRDefault="00921711" w:rsidP="00677E33">
      <w:pPr>
        <w:spacing w:after="240" w:line="360" w:lineRule="auto"/>
        <w:ind w:left="720"/>
        <w:jc w:val="both"/>
        <w:rPr>
          <w:rFonts w:ascii="Times New Roman" w:hAnsi="Times New Roman" w:cs="Times New Roman"/>
        </w:rPr>
      </w:pPr>
      <w:r w:rsidRPr="0067008A">
        <w:rPr>
          <w:rFonts w:ascii="Times New Roman" w:hAnsi="Times New Roman" w:cs="Times New Roman"/>
          <w:color w:val="212121"/>
        </w:rPr>
        <w:t>“Art. 21.- Durante el proceso electoral, los organismos electorales dispondrán la colaboración de las autoridades públicas, militares, policiales y del servicio exterior para la aplicación de las disposiciones de esta ley; asimismo, previo acuerdo, podrán demandar la colaboración de las personas jurídicas de derecho privado.”</w:t>
      </w:r>
    </w:p>
    <w:p w:rsidR="006A4D59" w:rsidRPr="0067008A" w:rsidRDefault="006A4D59" w:rsidP="00677E33">
      <w:pPr>
        <w:spacing w:after="240" w:line="360" w:lineRule="auto"/>
        <w:ind w:left="720"/>
        <w:jc w:val="both"/>
        <w:rPr>
          <w:rFonts w:ascii="Times New Roman" w:hAnsi="Times New Roman" w:cs="Times New Roman"/>
          <w:color w:val="212121"/>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color w:val="212121"/>
        </w:rPr>
        <w:t>Además la falta de colaboración de las autoridades públicas está sujeta a las sanciones del caso conforme lo establece el artículo 277, numeral 2 del Código de la Democracia.</w:t>
      </w:r>
    </w:p>
    <w:p w:rsidR="006A4D59" w:rsidRPr="0067008A" w:rsidRDefault="006A4D59" w:rsidP="00677E33">
      <w:pPr>
        <w:spacing w:after="240" w:line="360" w:lineRule="auto"/>
        <w:jc w:val="both"/>
        <w:rPr>
          <w:rFonts w:ascii="Times New Roman" w:hAnsi="Times New Roman" w:cs="Times New Roman"/>
          <w:color w:val="212121"/>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color w:val="212121"/>
        </w:rPr>
        <w:t>Pese a lo anterior se puede observar que en el expediente de la causa No. 090-2020-TCE, remitido por el Tribunal Contencioso Electoral a la Comisión de Garantías Constitucionales, la falta actuaciones administrativas investigativas realizadas por el Consejo Nacional Electoral en la fase de calificación de la candidatura del binomio Lasso—Borrero, pues no solicitó a ninguna institución pública o privada, nacional o extranjera ningún documento para convalidar la objeción presentada por el procurador común de la Alianza UNES, Santiago Díaz. Es decir, frente al recurso presentado el Consejo Nacional Electoral no realizó ninguna averiguación adicional, rechazando la misma por no haber aportado los suficientes elementos de convicción.</w:t>
      </w:r>
    </w:p>
    <w:p w:rsidR="006A4D59" w:rsidRPr="0067008A" w:rsidRDefault="006A4D59" w:rsidP="00677E33">
      <w:pPr>
        <w:spacing w:after="240" w:line="360" w:lineRule="auto"/>
        <w:jc w:val="both"/>
        <w:rPr>
          <w:rFonts w:ascii="Times New Roman" w:hAnsi="Times New Roman" w:cs="Times New Roman"/>
          <w:color w:val="212121"/>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color w:val="212121"/>
        </w:rPr>
        <w:t>No obstante luego de la filtración de los Pandora Papers se conoce que el patrimonio de las empresas denunciadas en su momento ante los organismos electorales fueron trasladadas a otras sociedades en paraísos fiscales, situación que pudo haber sido fácilmente comprobable si se solicitaba información a los organismos de control tributario y financiero para saber si esos activos regresaron al Ecuador, caso contrario se podría válidamente presumir que seguían en el extranjero.</w:t>
      </w:r>
    </w:p>
    <w:p w:rsidR="006A4D59" w:rsidRPr="0067008A" w:rsidRDefault="006A4D59" w:rsidP="00677E33">
      <w:pPr>
        <w:spacing w:after="240" w:line="360" w:lineRule="auto"/>
        <w:jc w:val="both"/>
        <w:rPr>
          <w:rFonts w:ascii="Times New Roman" w:hAnsi="Times New Roman" w:cs="Times New Roman"/>
          <w:color w:val="212121"/>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color w:val="212121"/>
        </w:rPr>
        <w:t>Se debe mencionar que en la comunicación del Procurador Común de la Alianza CREO 21 – PSC 6 Dr. Lorenzo Calvas Preciado remitida con fecha 28 de Septiembre de 2020 a la Ingeniera Diana Atamaint, Presidenta del Consejo Nacional Electoral.presentó como descargo las objeciones presentadas por el procurador de la Alianza UNES que muchas de las empresas señaladas habían sido disueltas, sin especificar qué ocurrió con su patrimonio.</w:t>
      </w:r>
    </w:p>
    <w:p w:rsidR="006A4D59" w:rsidRPr="0067008A" w:rsidRDefault="006A4D59" w:rsidP="00677E33">
      <w:pPr>
        <w:spacing w:after="240" w:line="360" w:lineRule="auto"/>
        <w:jc w:val="both"/>
        <w:rPr>
          <w:rFonts w:ascii="Times New Roman" w:hAnsi="Times New Roman" w:cs="Times New Roman"/>
          <w:color w:val="212121"/>
        </w:rPr>
      </w:pPr>
    </w:p>
    <w:p w:rsidR="006A4D59" w:rsidRPr="0067008A" w:rsidRDefault="00921711" w:rsidP="00677E33">
      <w:pPr>
        <w:spacing w:after="240" w:line="360" w:lineRule="auto"/>
        <w:jc w:val="both"/>
        <w:rPr>
          <w:rFonts w:ascii="Times New Roman" w:hAnsi="Times New Roman" w:cs="Times New Roman"/>
          <w:color w:val="212121"/>
        </w:rPr>
      </w:pPr>
      <w:r w:rsidRPr="0067008A">
        <w:rPr>
          <w:rFonts w:ascii="Times New Roman" w:hAnsi="Times New Roman" w:cs="Times New Roman"/>
          <w:color w:val="212121"/>
        </w:rPr>
        <w:t xml:space="preserve">Esta inacción de parte del CNE se fundamenta en los artículos 101 al 106 del Código de la Democracia, en donde el CNE solo tiene unos pocos días para resolver la calificación de una candidatura, por lo que no habría posibilidad de validar a profundidad si una persona se encuentra incurso en una inhabilidad de tener recursos en paraísos fiscales. Este criterio incluso fue ratificado por el Tribunal Contencioso Electoral en la sentencia No. 090-2020-TCE que en su parte motiva dijo: </w:t>
      </w:r>
    </w:p>
    <w:p w:rsidR="006A4D59" w:rsidRPr="0067008A" w:rsidRDefault="00921711" w:rsidP="00677E33">
      <w:pPr>
        <w:spacing w:after="240" w:line="360" w:lineRule="auto"/>
        <w:ind w:left="700"/>
        <w:jc w:val="both"/>
        <w:rPr>
          <w:rFonts w:ascii="Times New Roman" w:hAnsi="Times New Roman" w:cs="Times New Roman"/>
          <w:color w:val="212121"/>
        </w:rPr>
      </w:pPr>
      <w:r w:rsidRPr="0067008A">
        <w:rPr>
          <w:rFonts w:ascii="Times New Roman" w:hAnsi="Times New Roman" w:cs="Times New Roman"/>
          <w:color w:val="212121"/>
        </w:rPr>
        <w:t>“El Tribunal Contencioso Electoral ha reglamentado que la prueba tiene como finalidad llevar al juzgador al convencimiento de los hechos y circunstancias controvertidos, que debe ser oportuna, que para ser admitida debe reunir los requisitos de pertinencia, utilidad y conducencia; y que deben probarse todos los hechos alegados por las partes, salvo aquellos de pleno derecho.</w:t>
      </w:r>
    </w:p>
    <w:p w:rsidR="006A4D59" w:rsidRPr="0067008A" w:rsidRDefault="00921711" w:rsidP="00677E33">
      <w:pPr>
        <w:spacing w:after="240" w:line="360" w:lineRule="auto"/>
        <w:ind w:left="700"/>
        <w:jc w:val="both"/>
        <w:rPr>
          <w:rFonts w:ascii="Times New Roman" w:hAnsi="Times New Roman" w:cs="Times New Roman"/>
          <w:color w:val="212121"/>
        </w:rPr>
      </w:pPr>
      <w:r w:rsidRPr="0067008A">
        <w:rPr>
          <w:rFonts w:ascii="Times New Roman" w:hAnsi="Times New Roman" w:cs="Times New Roman"/>
          <w:color w:val="212121"/>
        </w:rPr>
        <w:t>En esta etapa preclusiva (inscripción de candidaturas) las objeciones deben ser motivadas y la carga de la prueba es responsabilidad de quien presenta la objeción, que debe asegurarse de la efectividad de los documentos con los que pretende justificar su oposición, tal como lo establece el artículo 242 del Código de la Democracia.”</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color w:val="212121"/>
        </w:rPr>
        <w:t>Lo anterior significa que en materia de inhabilidades, en especial la relacionada con tener bienes en paraísos fiscales, para el CNE la demostración de no estar incurso en la prohibición sólo se justifica con la declaración juramentada. En el caso de Guillermo Lasso suscribió ante la Notaria Suplente Quincuagésimo Octavo del Cantón Guayaquil, Ab. Lissette García, el 18 de septiembre de 2020, su declaración juramentada que su parte pertinente dice: “que no me encuentro incurso en las prohibiciones previstas en la Ley Orgánica para la Aplicación de la Consulta Popular efectuada el diecinueve de febrero del año dos mil diecisiete.”</w:t>
      </w:r>
    </w:p>
    <w:p w:rsidR="006A4D59" w:rsidRPr="0067008A" w:rsidRDefault="00921711" w:rsidP="00677E33">
      <w:pPr>
        <w:spacing w:after="240" w:line="360" w:lineRule="auto"/>
        <w:jc w:val="both"/>
        <w:rPr>
          <w:rFonts w:ascii="Times New Roman" w:hAnsi="Times New Roman" w:cs="Times New Roman"/>
          <w:color w:val="212121"/>
        </w:rPr>
      </w:pPr>
      <w:r w:rsidRPr="0067008A">
        <w:rPr>
          <w:rFonts w:ascii="Times New Roman" w:hAnsi="Times New Roman" w:cs="Times New Roman"/>
          <w:color w:val="212121"/>
        </w:rPr>
        <w:t>Respecto a las actuaciones realizadas por el Tribunal Contencioso Electoral dentro del expediente No. 090-2020-TCE se pudo observar que nunca se actuó prueba de oficio y el expediente se resolvió en el mérito de los autos, es decir del expediente administrativo que se sustanció ante el Consejo Nacional Electoral que, como ya se indicó, solo contenía la documentación presentada por la organización política objetante y la respuesta del binomio objetado. Este tema fue ratificado por la Vicepresidenta del Tribunal Contencioso Electoral, Patricia Guaicha en la sesión No. 037 de la Comisión de Garantías Constitucionales, Derechos Humanos, Derechos Colectivos y la Interculturalidad,</w:t>
      </w:r>
      <w:r w:rsidR="00677E33" w:rsidRPr="0067008A">
        <w:rPr>
          <w:rFonts w:ascii="Times New Roman" w:hAnsi="Times New Roman" w:cs="Times New Roman"/>
          <w:color w:val="212121"/>
        </w:rPr>
        <w:t xml:space="preserve"> </w:t>
      </w:r>
      <w:r w:rsidRPr="0067008A">
        <w:rPr>
          <w:rFonts w:ascii="Times New Roman" w:hAnsi="Times New Roman" w:cs="Times New Roman"/>
          <w:color w:val="212121"/>
        </w:rPr>
        <w:t>que dijo. “El recurso subjetivo contencioso electoral se resuelva en el mérito de los autos” y ante la pregunta de la Asambleísta Viviana Veloz de si el TCE</w:t>
      </w:r>
      <w:r w:rsidR="00677E33" w:rsidRPr="0067008A">
        <w:rPr>
          <w:rFonts w:ascii="Times New Roman" w:hAnsi="Times New Roman" w:cs="Times New Roman"/>
          <w:color w:val="212121"/>
        </w:rPr>
        <w:t xml:space="preserve"> </w:t>
      </w:r>
      <w:r w:rsidRPr="0067008A">
        <w:rPr>
          <w:rFonts w:ascii="Times New Roman" w:hAnsi="Times New Roman" w:cs="Times New Roman"/>
          <w:color w:val="212121"/>
        </w:rPr>
        <w:t>solicitó prueba de oficio, dijo la Dra. Guaicha que “no”. SIn embargo, es importante señalar que el Cödigo de la Democracia le permite al TCE solicitar prueba de oficio:</w:t>
      </w:r>
    </w:p>
    <w:p w:rsidR="006A4D59" w:rsidRPr="0067008A" w:rsidRDefault="00921711" w:rsidP="00677E33">
      <w:pPr>
        <w:spacing w:after="240" w:line="360" w:lineRule="auto"/>
        <w:ind w:left="720"/>
        <w:jc w:val="both"/>
        <w:rPr>
          <w:rFonts w:ascii="Times New Roman" w:hAnsi="Times New Roman" w:cs="Times New Roman"/>
          <w:i/>
          <w:color w:val="212121"/>
        </w:rPr>
      </w:pPr>
      <w:r w:rsidRPr="0067008A">
        <w:rPr>
          <w:rFonts w:ascii="Times New Roman" w:hAnsi="Times New Roman" w:cs="Times New Roman"/>
          <w:i/>
          <w:color w:val="212121"/>
        </w:rPr>
        <w:t>“Art. 245.3.- (Agregado por el Art. 107 de la Ley s/n, R.O. 134-S, 3-II-2020).- De considerarlo necesario, hasta antes de expedirse la sentencia, el juez sustanciador o de instancia, podrá requerir actuaciones, documentos o cualquier otro tipo de información que contribuya al esclarecimiento de los hechos que estén a su conocimiento.</w:t>
      </w:r>
    </w:p>
    <w:p w:rsidR="006A4D59" w:rsidRPr="0067008A" w:rsidRDefault="00921711" w:rsidP="00677E33">
      <w:pPr>
        <w:spacing w:after="240" w:line="360" w:lineRule="auto"/>
        <w:ind w:left="720"/>
        <w:jc w:val="both"/>
        <w:rPr>
          <w:rFonts w:ascii="Times New Roman" w:hAnsi="Times New Roman" w:cs="Times New Roman"/>
          <w:i/>
          <w:color w:val="212121"/>
        </w:rPr>
      </w:pPr>
      <w:r w:rsidRPr="0067008A">
        <w:rPr>
          <w:rFonts w:ascii="Times New Roman" w:hAnsi="Times New Roman" w:cs="Times New Roman"/>
          <w:i/>
          <w:color w:val="212121"/>
        </w:rPr>
        <w:t>El juez de instancia o sustanciador, dispondrá mediante auto la admisión del recurso, acción, denuncia o consulta, del cual no cabrá recurso alguno.</w:t>
      </w:r>
    </w:p>
    <w:p w:rsidR="006A4D59" w:rsidRPr="0067008A" w:rsidRDefault="00921711" w:rsidP="002E7BE5">
      <w:pPr>
        <w:spacing w:after="240" w:line="360" w:lineRule="auto"/>
        <w:ind w:left="720"/>
        <w:jc w:val="both"/>
        <w:rPr>
          <w:rFonts w:ascii="Times New Roman" w:hAnsi="Times New Roman" w:cs="Times New Roman"/>
        </w:rPr>
      </w:pPr>
      <w:r w:rsidRPr="0067008A">
        <w:rPr>
          <w:rFonts w:ascii="Times New Roman" w:hAnsi="Times New Roman" w:cs="Times New Roman"/>
          <w:i/>
          <w:color w:val="212121"/>
        </w:rPr>
        <w:t>La documentación que contenga el recurso, acción, denuncia o consulta cuyo conocimiento corresponda al Tribunal Contencioso Electoral, será presentada en la Secretaría General y se verificará que se encuentre debidamente foliada.”</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color w:val="212121"/>
        </w:rPr>
        <w:t>Un elemento adicional a tener en cuenta es que la Ley para la Aplicación de la Consulta Popular Efectuada el 19 de Febrero de 2017 existen varios momentos para controlar que las personas sometidas a esa norma no tengan bienes en paraísos fiscales. En un primer momento quienes deben acreditar no estar incursos en esta inhabilidad son los candidatos y los organismos encargados de verificar esta inhabilidad son las instituciones de la Función Electoral.</w:t>
      </w:r>
    </w:p>
    <w:p w:rsidR="006A4D59" w:rsidRPr="0067008A" w:rsidRDefault="00921711" w:rsidP="00677E33">
      <w:pPr>
        <w:spacing w:after="240" w:line="360" w:lineRule="auto"/>
        <w:jc w:val="both"/>
        <w:rPr>
          <w:rFonts w:ascii="Times New Roman" w:hAnsi="Times New Roman" w:cs="Times New Roman"/>
          <w:color w:val="212121"/>
        </w:rPr>
      </w:pPr>
      <w:r w:rsidRPr="0067008A">
        <w:rPr>
          <w:rFonts w:ascii="Times New Roman" w:hAnsi="Times New Roman" w:cs="Times New Roman"/>
          <w:color w:val="212121"/>
        </w:rPr>
        <w:t>No obstante, el legislador contempla controles adicionales para garantizar que los servidores públicos no incumplan el pacto ético. Por ello los funcionarios públicos, así como las autoridades de elección popular que asuman sus cargos no deben incurrir en esa prohibición, pero en esta instancia los organismos electorales carecen de competencia para revisar estos temas que ya sobrepasan al proceso electoral, por el principio de preclusión, antes citado.</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color w:val="212121"/>
        </w:rPr>
        <w:t>Además, la sentencia dentro de la causa No. 090-2020-TCE es clara al señalar que se rechaza el recurso subjetivo contencioso electoral presentado por la Alianza UNES porque no logró acreditar la inhabilidad:</w:t>
      </w:r>
    </w:p>
    <w:p w:rsidR="006A4D59" w:rsidRPr="0067008A" w:rsidRDefault="006A4D59" w:rsidP="00677E33">
      <w:pPr>
        <w:spacing w:after="240" w:line="360" w:lineRule="auto"/>
        <w:jc w:val="both"/>
        <w:rPr>
          <w:rFonts w:ascii="Times New Roman" w:hAnsi="Times New Roman" w:cs="Times New Roman"/>
          <w:color w:val="212121"/>
        </w:rPr>
      </w:pPr>
    </w:p>
    <w:p w:rsidR="006A4D59" w:rsidRPr="0067008A" w:rsidRDefault="00921711" w:rsidP="00677E33">
      <w:pPr>
        <w:spacing w:after="240" w:line="360" w:lineRule="auto"/>
        <w:ind w:left="700"/>
        <w:jc w:val="both"/>
        <w:rPr>
          <w:rFonts w:ascii="Times New Roman" w:hAnsi="Times New Roman" w:cs="Times New Roman"/>
        </w:rPr>
      </w:pPr>
      <w:r w:rsidRPr="0067008A">
        <w:rPr>
          <w:rFonts w:ascii="Times New Roman" w:hAnsi="Times New Roman" w:cs="Times New Roman"/>
          <w:i/>
          <w:color w:val="212121"/>
        </w:rPr>
        <w:t>“En criterio de este Tribunal, el señor Joseph Santiago Díaz Asque, en el recurso subjetivo contencioso electoral que presenta como procurador común de la Alianza 1-5 UNIÓN POR LA ESPERANZA, no ha logrado demostrar la existencia de los incumplimientos que impedirían la calificación de la candidatura presidencial del señor Guillermo Lasso Mendoza, presentada por la Alianza CREO 21-PSC 6, ni ha generado los elementos de convicción suficientes para revocar la resolución PLE-CNE-6-30-9-2020 del Pleno del Consejo Nacional Electoral.”</w:t>
      </w:r>
    </w:p>
    <w:p w:rsidR="006A4D59" w:rsidRPr="0067008A" w:rsidRDefault="006A4D59" w:rsidP="00677E33">
      <w:pPr>
        <w:spacing w:after="240" w:line="360" w:lineRule="auto"/>
        <w:ind w:left="700"/>
        <w:jc w:val="both"/>
        <w:rPr>
          <w:rFonts w:ascii="Times New Roman" w:hAnsi="Times New Roman" w:cs="Times New Roman"/>
          <w:i/>
          <w:color w:val="212121"/>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color w:val="212121"/>
        </w:rPr>
        <w:t>En ningún momento la sentencia resolvió que Guillermo Lasso no poseía bienes en paraísos fiscales, pues esa situación estaría más allá de las competencias del TCE, pues como se verá más adelante son varios los órganos competentes para resolver estos temas. En todo caso la decisión del TCE al ser de última y definitiva instancia según el artículo 221 de la Constitución generó una cosa juzgada en el ámbito electoral.</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color w:val="212121"/>
        </w:rPr>
        <w:t>Por ello, la normativa le faculta a la Contraloría iniciar la investigación, es decir dejamos el ámbito electoral, para entrar en el ámbito administrativo para lo cual es aplicable otra materia diferente. Ello implica que incluso a haber existido una sentencia del Tribunal Contencioso Electoral respecto a la inhabilidad para candidatizarse de Guillermo Lasso, dicha sentencia no impide que la Contraloría pueda investigar estas nuevas revelaciones sobre posibles recursos en paraísos fiscales.</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color w:val="212121"/>
        </w:rPr>
        <w:t>Debemos recordar que el artículo 76, numeral 7, literal i) de la Constitución consagra la prohibición del doble juzgamiento lo que implica que una persona no puede ser juzgada dos veces por la misma causa y materia. Como ya vimos la investigación que adelanta la Asamblea se refiere a una materia diferente a la electoral, pues se enmarca en el ámbito administrativo del servicio público; siendo competente en primera instancia la Contraloría.</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color w:val="212121"/>
        </w:rPr>
        <w:t>Además, la normativa electoral incluye limitaciones a la posibilidad de verificar la inhabilidad de poseer bienes en paraísos fiscales, no solo por el escaso tiempo que dura la calificación de candidaturas, sino por las herramientas que cuentan los organismos electorales para comprobar una inhabilidad. La Contraloría tiene 60 días para investigar a diferencia de los pocos días que tiene el Consejo Nacional Electoral para la calificación. Cuando el Consejo Nacional Electoral tiene competencia el candidato al no ser funcionario público no ha renunciado al sigilo bancario lo que dificultará acceder a sus movimientos financieros para determinar el envío de dinero al exterior. Cuando la Contraloría tiene competencia la persona investigada es un servidor público y por tanto ha renunciado a su sigilo bancario de conformidad con el artículo 231 de la Constitución, por lo que tiene mayores medios y mecanismos de acceder a la información de la persona investigada.</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color w:val="212121"/>
        </w:rPr>
        <w:t>Pero no solo la Contraloría es competente, ya que en el caso de que se determine que un funcionario de elección popular participó como candidato pese a tener la inhabilidad de tener bienes en paraísos fiscales, en cuyo caso habría faltado a la verdad tanto en el formulario de inscripción ante el Consejo Nacional Electoral como en la declaración juramentada ante notario público, lo que implicaría cometer el delito de perjurio sancionado por el artículo 270 del Código Orgánico Integral Penal:</w:t>
      </w:r>
    </w:p>
    <w:p w:rsidR="006A4D59" w:rsidRPr="0067008A" w:rsidRDefault="00921711" w:rsidP="00677E33">
      <w:pPr>
        <w:spacing w:after="240" w:line="360" w:lineRule="auto"/>
        <w:ind w:left="720"/>
        <w:jc w:val="both"/>
        <w:rPr>
          <w:rFonts w:ascii="Times New Roman" w:hAnsi="Times New Roman" w:cs="Times New Roman"/>
          <w:i/>
          <w:color w:val="212121"/>
        </w:rPr>
      </w:pPr>
      <w:r w:rsidRPr="0067008A">
        <w:rPr>
          <w:rFonts w:ascii="Times New Roman" w:hAnsi="Times New Roman" w:cs="Times New Roman"/>
          <w:i/>
          <w:color w:val="212121"/>
        </w:rPr>
        <w:t>“Art. 270.- Perjurio y falso testimonio.- La persona que, al declarar, confesar, informar o traducir ante o a autoridad competente, falte a la verdad bajo juramento, cometa perjurio, será sancionada con pena privativa de libertad de tres a cinco años; cuando lo hace sin juramento, cometa falso testimonio, será sancionada con pena privativa de libertad de uno a tres años.</w:t>
      </w:r>
    </w:p>
    <w:p w:rsidR="006A4D59" w:rsidRPr="0067008A" w:rsidRDefault="00921711" w:rsidP="00677E33">
      <w:pPr>
        <w:spacing w:after="240" w:line="360" w:lineRule="auto"/>
        <w:ind w:left="720"/>
        <w:jc w:val="both"/>
        <w:rPr>
          <w:rFonts w:ascii="Times New Roman" w:hAnsi="Times New Roman" w:cs="Times New Roman"/>
          <w:i/>
          <w:color w:val="212121"/>
        </w:rPr>
      </w:pPr>
      <w:r w:rsidRPr="0067008A">
        <w:rPr>
          <w:rFonts w:ascii="Times New Roman" w:hAnsi="Times New Roman" w:cs="Times New Roman"/>
          <w:i/>
          <w:color w:val="212121"/>
        </w:rPr>
        <w:t>De igual modo, se comete perjurio cuando a sabiendas se ha faltado a la verdad en declaraciones patrimoniales juramentadas o juradas hechas ante Notario Público</w:t>
      </w:r>
    </w:p>
    <w:p w:rsidR="006A4D59" w:rsidRPr="0067008A" w:rsidRDefault="00921711" w:rsidP="00677E33">
      <w:pPr>
        <w:spacing w:after="240" w:line="360" w:lineRule="auto"/>
        <w:ind w:left="720"/>
        <w:jc w:val="both"/>
        <w:rPr>
          <w:rFonts w:ascii="Times New Roman" w:hAnsi="Times New Roman" w:cs="Times New Roman"/>
          <w:i/>
          <w:color w:val="212121"/>
        </w:rPr>
      </w:pPr>
      <w:r w:rsidRPr="0067008A">
        <w:rPr>
          <w:rFonts w:ascii="Times New Roman" w:hAnsi="Times New Roman" w:cs="Times New Roman"/>
          <w:i/>
          <w:color w:val="212121"/>
        </w:rPr>
        <w:t>Si el perjurio se comete en causa penal, será sancionada con pena privativa de libertad de siete a diez años.</w:t>
      </w:r>
    </w:p>
    <w:p w:rsidR="006A4D59" w:rsidRPr="0067008A" w:rsidRDefault="00921711" w:rsidP="00677E33">
      <w:pPr>
        <w:spacing w:after="240" w:line="360" w:lineRule="auto"/>
        <w:ind w:left="720"/>
        <w:jc w:val="both"/>
        <w:rPr>
          <w:rFonts w:ascii="Times New Roman" w:hAnsi="Times New Roman" w:cs="Times New Roman"/>
          <w:i/>
          <w:color w:val="212121"/>
        </w:rPr>
      </w:pPr>
      <w:r w:rsidRPr="0067008A">
        <w:rPr>
          <w:rFonts w:ascii="Times New Roman" w:hAnsi="Times New Roman" w:cs="Times New Roman"/>
          <w:i/>
          <w:color w:val="212121"/>
        </w:rPr>
        <w:t>Si el falso testimonio se comete en causa penal, será sancionada con pena privativa de libertad de cinco a siete años.</w:t>
      </w:r>
    </w:p>
    <w:p w:rsidR="006A4D59" w:rsidRPr="0067008A" w:rsidRDefault="00921711" w:rsidP="00677E33">
      <w:pPr>
        <w:spacing w:after="240" w:line="360" w:lineRule="auto"/>
        <w:ind w:left="720"/>
        <w:jc w:val="both"/>
        <w:rPr>
          <w:rFonts w:ascii="Times New Roman" w:hAnsi="Times New Roman" w:cs="Times New Roman"/>
        </w:rPr>
      </w:pPr>
      <w:r w:rsidRPr="0067008A">
        <w:rPr>
          <w:rFonts w:ascii="Times New Roman" w:hAnsi="Times New Roman" w:cs="Times New Roman"/>
          <w:i/>
          <w:color w:val="212121"/>
        </w:rPr>
        <w:t>Se exceptúan los casos de versiones y testimonio de la o el sospechoso o de la o el procesado, tanto en la fase preprocesal, como en el proceso penal.”</w:t>
      </w:r>
    </w:p>
    <w:p w:rsidR="006A4D59" w:rsidRPr="0067008A" w:rsidRDefault="006A4D59" w:rsidP="00677E33">
      <w:pPr>
        <w:spacing w:after="240" w:line="360" w:lineRule="auto"/>
        <w:ind w:left="720"/>
        <w:jc w:val="both"/>
        <w:rPr>
          <w:rFonts w:ascii="Times New Roman" w:hAnsi="Times New Roman" w:cs="Times New Roman"/>
          <w:i/>
          <w:color w:val="212121"/>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color w:val="212121"/>
        </w:rPr>
        <w:t>Se debe tener presente que el artículo 4 de la Ley Orgánica para la Aplicación de la Consulta Popular Efectuada el 19 de Febrero de 2017 la prohibición de tener bienes en paraísos fiscales incluye la participación en capitales bajo condición de constituyente respecto de cualquier tipo de derechos representativos de capital, en sociedades, que a su vez sean propietarias de capitales en jurisdicciones o regímenes considerados como paraísos fiscales.</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color w:val="212121"/>
        </w:rPr>
        <w:t xml:space="preserve">Por otro lado, el término sociedad según el mismo artículo 4 antes señalado dice que se aplicará lo dispuesto en el artículo 98 de la Ley de Régimen Tributario Interno que incluye a los fideicomisos mercantiles y otros patrimonios autónomos con personalidad jurídica.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color w:val="212121"/>
        </w:rPr>
        <w:t>Lo anterior significa que de acuerdo a la Ley Orgánica para la Aplicación de la Consulta Popular efectuada el diecinueve de febrero del año dos mil diecisiete, la prohibición de mantener bienes en paraísos fiscales incluye a los constituyentes de fideicomisos en paraísos fiscales, independientemente si son beneficiarios o no. Por ello, el que los beneficiarios de un fideicomiso sean terceros como los hijos mayores de edad del constituyente no lo exime de la prohibición.</w:t>
      </w:r>
    </w:p>
    <w:p w:rsidR="006A4D59" w:rsidRPr="0067008A" w:rsidRDefault="00921711" w:rsidP="00677E33">
      <w:pPr>
        <w:spacing w:after="240" w:line="360" w:lineRule="auto"/>
        <w:jc w:val="both"/>
        <w:rPr>
          <w:rFonts w:ascii="Times New Roman" w:hAnsi="Times New Roman" w:cs="Times New Roman"/>
          <w:color w:val="212121"/>
        </w:rPr>
      </w:pPr>
      <w:r w:rsidRPr="0067008A">
        <w:rPr>
          <w:rFonts w:ascii="Times New Roman" w:hAnsi="Times New Roman" w:cs="Times New Roman"/>
          <w:color w:val="212121"/>
        </w:rPr>
        <w:t>Así mismo, como consecuencia de la falta de legitimidad democrática y de la vulneración de la voluntad popular la crisis política institucional que eso ocasione convierte a la Asamblea Nacional Electoral en otro de los organismos competentes para fiscalizar esta situación y adoptar las medidas políticas necesarias para recuperar el orden constitucional y democrático.</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Responsabilidad Tributaria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El Servicio de Rentas Internas SRI, presenta con acceso al público a través de su página web el detalle del Catastro de Grupos Económicos 2020, su Conformación y Comportamiento Tributario. De la revisión efectuada a esta base de datos oficial, se pudo encontrar la siguiente información respecto al Grupo Económico Banco de Guayaquil (Corporación MultiBG, Fideicomiso Mercantil de Administración GLM, Promoquil, Fideicomiso Mercantil de Administración MELM):</w:t>
      </w:r>
    </w:p>
    <w:p w:rsidR="006A4D59" w:rsidRPr="0067008A" w:rsidRDefault="006A4D59" w:rsidP="00677E33">
      <w:pPr>
        <w:spacing w:after="240" w:line="360" w:lineRule="auto"/>
        <w:jc w:val="both"/>
        <w:rPr>
          <w:rFonts w:ascii="Times New Roman" w:hAnsi="Times New Roman" w:cs="Times New Roman"/>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Tal como consta en la web se determina, que el SRI registra a este Grupo Económico con la denominación “Banco de Guayaquil (Corporación MultiBG, Fideicomiso Mercantil de Administración GLM, Promoquil, Fideicomiso Mercantil de Administración MELM)”. Según los datos encontrados, el Grupo está conformado por 66 Empresas, dos (2) de las cuales se encuentran registradas como Sociedades Extranjeras domiciliadas en Paraísos Fiscales.</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En la misma fuente se verifica, que cada una de las empresas integrantes registra su respectiva Razón Social y que entre ellas constan 7 que se encuentran Suspendidas, 59 en condición de Activas y 2 con registro de NO APLICA para el Estado Tributario para Ecuador, debido a que están domiciliadas en Panamá, siendo estas las empresas BANISI HOLDING y BANISI.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Constan además en el registro como empresas activas las denominadas SOUTH PACIFIC INVESTORS LTD,</w:t>
      </w:r>
      <w:r w:rsidR="00677E33" w:rsidRPr="0067008A">
        <w:rPr>
          <w:rFonts w:ascii="Times New Roman" w:hAnsi="Times New Roman" w:cs="Times New Roman"/>
        </w:rPr>
        <w:t xml:space="preserve"> </w:t>
      </w:r>
      <w:r w:rsidRPr="0067008A">
        <w:rPr>
          <w:rFonts w:ascii="Times New Roman" w:hAnsi="Times New Roman" w:cs="Times New Roman"/>
        </w:rPr>
        <w:t>GRUPO CORPORATIVO YOU YOUCORP S.A. y el FIDEICOMISO MERCANTIL DE ADMINISTRACIÓN GLM, mencionadas en los medios de comunicación como empresas vinculadas a paraísos fiscales. En el cuadro siguiente, tomado de la web del SRI, se presenta el detalle de las empresas que conforman el Grupo Económico Banco de Guayaquil.</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EMPRESAS QUE CONFORMAN EL GRUPO ECONÓMICO BANCO DE GUAYAQUIL</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(Corporación MultiBG, Fideicomiso Mercantil de Administración GLM, Promoquil, Fideicomiso Mercantil de Administración MELM), 2018 -2019</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 Fuente: SRI, Catastro de Grupos Económicos 2020</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La información que presenta el SRI a través del registro de Catastro de Grupos Económicos 2020, su Conformación y Comportamiento Tributario, refleja que entre las 66 empresas que conforman el Grupo Económico Banco de Guayaquil (Corporación MultiBG, Fideicomiso Mercantil de Administración GLM, Promoquil, Fideicomiso Mercantil de Administración MELM), pagaron al Estado ecuatoriano por Contribución del Impuesto a la Renta un total de $31.755.533</w:t>
      </w:r>
      <w:r w:rsidR="00677E33" w:rsidRPr="0067008A">
        <w:rPr>
          <w:rFonts w:ascii="Times New Roman" w:hAnsi="Times New Roman" w:cs="Times New Roman"/>
        </w:rPr>
        <w:t xml:space="preserve"> </w:t>
      </w:r>
      <w:r w:rsidRPr="0067008A">
        <w:rPr>
          <w:rFonts w:ascii="Times New Roman" w:hAnsi="Times New Roman" w:cs="Times New Roman"/>
        </w:rPr>
        <w:t xml:space="preserve">en el 2019, proveniente de una declaración de ingresos totales por $601.613.380. En tanto que para el 2018, el total de la Tributación de este Grupo económico por Impuesto a la Renta fue de $25.459.646 correspondiente a una declaración de ingresos de $525.191.984 para ese año fiscal.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GRUPO ECONÓMICO BANCO DE GUAYAQUIL</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(Corporación MultiBG, Fideicomiso Mercantil de Administración GLM, Promoquil, Fideicomiso Mercantil de Administración MELM)</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Información Tributaria 2018 – 2019</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Fuente: SRI, Catastro de Grupos Económicos 2020</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Como se demuestra en el cuadro, tomado de la información pública del Servicio de Rentas Internas en su página web, los valores pagados por el Grupo Económico Banco de Guayaquil y todas las empresas que lo constituyen, por concepto de Impuesto de Salida de Divisas ISD fueron del monto de $688.177 en el año 2019 y de $185.173 para el año 2018. De igual forma, los recursos pagados al Estado por concepto de Impuesto a las Actividades Económicas IAE, fueron $5.678.838 en el año 2019 y $5.004.336 en el año 2018.</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OTRAS FUENTES</w:t>
      </w:r>
    </w:p>
    <w:p w:rsidR="002E7BE5"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En Julio del 2021, The Real Deal, en base a información del Center for Economic and Policy Research, un tink tank asentado en Washington, D.C., reportó que compañías de responsabilidad limitada, dirigidas por un hijo del señor Guillermo Lasso Mendoza y dos directores del Banco Panameño vinculado al señor Lasso, serían propietarias de</w:t>
      </w:r>
      <w:r w:rsidR="00677E33" w:rsidRPr="0067008A">
        <w:rPr>
          <w:rFonts w:ascii="Times New Roman" w:hAnsi="Times New Roman" w:cs="Times New Roman"/>
        </w:rPr>
        <w:t xml:space="preserve"> </w:t>
      </w:r>
      <w:r w:rsidRPr="0067008A">
        <w:rPr>
          <w:rFonts w:ascii="Times New Roman" w:hAnsi="Times New Roman" w:cs="Times New Roman"/>
        </w:rPr>
        <w:t>cerca de 130 propiedades en la zona de Miami, estado de Florida, una compañía de bienes y railes, y ha acumulado US$ 33 millones desde 2009.</w:t>
      </w:r>
      <w:r w:rsidR="00677E33" w:rsidRPr="0067008A">
        <w:rPr>
          <w:rFonts w:ascii="Times New Roman" w:hAnsi="Times New Roman" w:cs="Times New Roman"/>
        </w:rPr>
        <w:t xml:space="preserve"> </w:t>
      </w:r>
      <w:r w:rsidRPr="0067008A">
        <w:rPr>
          <w:rFonts w:ascii="Times New Roman" w:hAnsi="Times New Roman" w:cs="Times New Roman"/>
        </w:rPr>
        <w:t>Estos datos deberán ser contrastados en investigaciones posteriores.</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ab/>
        <w:t xml:space="preserve"> INFORMACIÓN DE GUILLERMO LASSO EN MEDIOS PÚBLICOS</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Si bien, el señor Guillermo Lasso Mendoza, se negó a concurrir a la invitación realizada por la Comisión en dos ocasiones, la argumentación de descargo presentada en medios de comunicación gira en torno a dos puntos: (Completar)</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1.</w:t>
      </w:r>
      <w:r w:rsidRPr="0067008A">
        <w:rPr>
          <w:rFonts w:ascii="Times New Roman" w:hAnsi="Times New Roman" w:cs="Times New Roman"/>
        </w:rPr>
        <w:tab/>
        <w:t>Reconoce que tenía empresas off shore, incluso en Panamá, pero que ahora no tiene ninguna vinculación, pues esas empresas fueron disueltas y los fondos pasaron a formar parte de BANISI INTERNATIONAL FOUNDATION, mediante el traspaso de acciones del Banco Banisi y de Pietro Overseas S.A., según consta en la RESOLUCIÓN SBP-0106-2020 (de 10 de septiembre de 2020) de la Superintendencia de Bancos de Panamá: ARTÍCULO ÚNICO: Autorizar el traspaso del 47.27% de las acciones emitidas y en circulación de BANISI HOLDING, S.A., lo que conlleva al traspaso por parte de PIETRO OVERSEAS, S.A., del 41.59% de las acciones emitidas y en circulación de su propiedad en BANISI HOLDING, S.A., de manera directa, y el 51% de las acciones emitidas y en circulación de BANDERILLA CAPITAL GROUP, S.A., que representan el 5.68% de las acciones de BANISI HOLDING, S.A., de manera indirecta, a favor de BANISI INTERNATIONAL FOUNDATION.</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2.</w:t>
      </w:r>
      <w:r w:rsidRPr="0067008A">
        <w:rPr>
          <w:rFonts w:ascii="Times New Roman" w:hAnsi="Times New Roman" w:cs="Times New Roman"/>
        </w:rPr>
        <w:tab/>
        <w:t>Señala que ha pagado un total de 5.. millones de impuestos desde …, dentro de los cuales se incluyen los aportes del Banco de Guayaquil …</w:t>
      </w:r>
    </w:p>
    <w:p w:rsidR="006A4D59" w:rsidRPr="0067008A" w:rsidRDefault="00921711" w:rsidP="00677E33">
      <w:pPr>
        <w:spacing w:after="240" w:line="360" w:lineRule="auto"/>
        <w:jc w:val="both"/>
        <w:rPr>
          <w:rFonts w:ascii="Times New Roman" w:hAnsi="Times New Roman" w:cs="Times New Roman"/>
          <w:b/>
          <w:color w:val="212121"/>
        </w:rPr>
      </w:pPr>
      <w:r w:rsidRPr="0067008A">
        <w:rPr>
          <w:rFonts w:ascii="Times New Roman" w:hAnsi="Times New Roman" w:cs="Times New Roman"/>
          <w:b/>
          <w:color w:val="212121"/>
        </w:rPr>
        <w:t xml:space="preserve"> </w:t>
      </w:r>
      <w:r w:rsidRPr="0067008A">
        <w:rPr>
          <w:rFonts w:ascii="Times New Roman" w:hAnsi="Times New Roman" w:cs="Times New Roman"/>
          <w:b/>
        </w:rPr>
        <w:t xml:space="preserve">Responsabilidad Penal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En el marco de la investigación realizada por esta comisión, se han encontrado hechos que suscitan especial preocupación y que deben ser investigadas por las instancias correspondientes. Es por ello que en el marco de las competencias que le otorgan la Constitución y la Ley Orgánica de la Función Legislativa, esta comisión requirió la presencia de varias autoridades entre las cuales consta la Fiscalía General del Estado a la que a través del señor Fiscal General Subrogante se le requirió brinde información a fin de establecer si dicha entidad ha cumplido con sus funciones, sin embargo y pese a las interrogantes que se plantearon a través de los asambleístas miembros de la comisión, así como otros asambleístas que pidieron intervenir en la sesión correspondiente, la autoridad antes referida no entregó ninguna información bajo el argumento de que los hechos se encuentran en fase de investigación previa y que por lo tanto todo lo relacionado al caso Pandora Papers es reservado. Llama la atención que la fiscalía apenas un día antes de su comparecencia ante la Comisión de Garantías Constitucionales, Derechos Humanos, Derechos Colectivos y la Interculturalidad haya iniciado la investigación previa dieciséis días después de las revelaciones que involucran al Presidente de la República, por parte del Consorcio Internacional de Periodistas de Investigación, con lo cual se muestra una actuación disímil con otros casos de interés público en donde el ejercicio de las competencias de la Fiscalía ha sido inmediato. Los hechos que preocupan a esta comisión y que deben ser investigadas por Fiscalía las detallamos a continuación: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i/>
          <w:color w:val="212121"/>
          <w:u w:val="single"/>
        </w:rPr>
        <w:t>Necesidad de investigar una posible Defraudación Tributaria:</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color w:val="212121"/>
        </w:rPr>
        <w:t>Doctrinariamente el delito de defraudación tributaria es una infracción penal por la cual se sanciona la actitud dolosa que tiene como intención la de perjudicar al Estado a través de la disminución de los ingresos que este debe percibir. Este delito tributario, por lo tanto, no solo que sanciona el no pago de impuestos sino que además incluye la acción dolosa de engañar al fisco para que este a su vez le determine la responsabilidad de pago de tributos en montos menores o incluso que no le determine obligaciones tributarias que pagar.</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color w:val="212121"/>
        </w:rPr>
        <w:t>Es por ello que el núcleo del delito normalmente incluye verbos rectores que permiten al interprete verificar que la conducta del sujeto activo se la ha realizado con la intención de llevar a cabo una serie de acciones cuya finalidad es engañar al ente recaudador de impuestos, en suma, el Estado, engaño que es necesario se demuestre pues de esta manera se demostraría así mismo el dolo pues si en este la conducta únicamente reviste una sanción administrativa.</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color w:val="212121"/>
        </w:rPr>
        <w:t>En ese marco</w:t>
      </w:r>
      <w:r w:rsidR="00677E33" w:rsidRPr="0067008A">
        <w:rPr>
          <w:rFonts w:ascii="Times New Roman" w:hAnsi="Times New Roman" w:cs="Times New Roman"/>
          <w:color w:val="212121"/>
        </w:rPr>
        <w:t xml:space="preserve"> </w:t>
      </w:r>
      <w:r w:rsidRPr="0067008A">
        <w:rPr>
          <w:rFonts w:ascii="Times New Roman" w:hAnsi="Times New Roman" w:cs="Times New Roman"/>
          <w:color w:val="212121"/>
        </w:rPr>
        <w:t>el Código Orgánico Integral Penal en su artículo 298</w:t>
      </w:r>
      <w:r w:rsidR="00677E33" w:rsidRPr="0067008A">
        <w:rPr>
          <w:rFonts w:ascii="Times New Roman" w:hAnsi="Times New Roman" w:cs="Times New Roman"/>
          <w:color w:val="212121"/>
        </w:rPr>
        <w:t xml:space="preserve"> </w:t>
      </w:r>
      <w:r w:rsidRPr="0067008A">
        <w:rPr>
          <w:rFonts w:ascii="Times New Roman" w:hAnsi="Times New Roman" w:cs="Times New Roman"/>
          <w:color w:val="212121"/>
        </w:rPr>
        <w:t>tipifica el delito de defraudación tributaria de la siguiente manera:</w:t>
      </w:r>
    </w:p>
    <w:p w:rsidR="006A4D59" w:rsidRPr="0067008A" w:rsidRDefault="00921711" w:rsidP="00677E33">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“Art. 298.- Defraudación tributaria.- La persona que simule, oculte, omita, falsee o engañe a la Administración Tributaria para dejar de cumplir con sus obligaciones o para dejar de pagar en todo o en parte los tributos realmente debidos, en provecho propio o de un tercero, será sancionada cuando:</w:t>
      </w:r>
    </w:p>
    <w:p w:rsidR="006A4D59" w:rsidRPr="0067008A" w:rsidRDefault="00921711" w:rsidP="00677E33">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1. Utilice identidad o identificación supuesta o falsa en la solicitud de inscripción, actualización o cancelación de los registros que llevan las administraciones tributarias.</w:t>
      </w:r>
    </w:p>
    <w:p w:rsidR="006A4D59" w:rsidRPr="0067008A" w:rsidRDefault="00921711" w:rsidP="00677E33">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2. Utilice datos, información o documentación falsa o adulterada en la solicitud de inscripción, actualización o cancelación de los registros que llevan las administraciones tributarias.</w:t>
      </w:r>
    </w:p>
    <w:p w:rsidR="006A4D59" w:rsidRPr="0067008A" w:rsidRDefault="00921711" w:rsidP="00677E33">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3. Realice actividades en un establecimiento a sabiendas de que se encuentre clausurado.</w:t>
      </w:r>
    </w:p>
    <w:p w:rsidR="006A4D59" w:rsidRPr="0067008A" w:rsidRDefault="00921711" w:rsidP="00677E33">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4. Imprima o haga uso de comprobantes de venta o de retención o de documentos complementarios que no sean autorizados por la Administración Tributaria.</w:t>
      </w:r>
    </w:p>
    <w:p w:rsidR="006A4D59" w:rsidRPr="0067008A" w:rsidRDefault="00921711" w:rsidP="00677E33">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5. Proporcione a la administración tributaria informes, reportes con mercancías, datos, cifras, circunstancias o antecedentes falsos, incompletos, desfigurados o adulterados.</w:t>
      </w:r>
    </w:p>
    <w:p w:rsidR="006A4D59" w:rsidRPr="0067008A" w:rsidRDefault="00921711" w:rsidP="00677E33">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6. Haga constar en las declaraciones tributarias datos falsos, incompletos, desfigurados o adulterados, siempre que el contribuyente no haya ejercido, dentro del año siguiente a la declaración, el derecho a presentar la declaración sustitutiva en la forma prevista en la ley.</w:t>
      </w:r>
    </w:p>
    <w:p w:rsidR="006A4D59" w:rsidRPr="0067008A" w:rsidRDefault="00921711" w:rsidP="00677E33">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7. Falsifique o altere permisos, guías, facturas, actas, marcas, etiquetas o cualquier otro tipo de control de fabricación, consumo, transporte, importación y exportación de bienes gravados.</w:t>
      </w:r>
    </w:p>
    <w:p w:rsidR="006A4D59" w:rsidRPr="0067008A" w:rsidRDefault="00921711" w:rsidP="00677E33">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8. Altere libros o registros informáticos de contabilidad, anotaciones, asientos u operaciones relativas a la actividad económica, así como el registro contable de cuentas, nombres, cantidades o datos falsos.</w:t>
      </w:r>
    </w:p>
    <w:p w:rsidR="006A4D59" w:rsidRPr="0067008A" w:rsidRDefault="00921711" w:rsidP="00677E33">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9. Lleve doble contabilidad con distintos asientos en libros o registros informáticos, para el mismo negocio o actividad económica.</w:t>
      </w:r>
    </w:p>
    <w:p w:rsidR="006A4D59" w:rsidRPr="0067008A" w:rsidRDefault="00921711" w:rsidP="00677E33">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10. Destruya total o parcialmente, los libros o registros informáticos de contabilidad u otros exigidos por las normas tributarias o los documentos que los respalden, para evadir el pago o disminuir el valor de obligaciones tributarias.</w:t>
      </w:r>
    </w:p>
    <w:p w:rsidR="006A4D59" w:rsidRPr="0067008A" w:rsidRDefault="00921711" w:rsidP="00677E33">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11. Venda para consumo aguardiente sin rectificar o alcohol sin embotellar y declare falsamente volumen o grado alcohólico del producto sujeto al tributo, fuera del límite de tolerancia establecido por el INEN, así como la venta fuera del cupo establecido por el Servicio de Rentas Internas, del alcohol etílico que se destine a la fabricación de bebidas alcohólicas, productos farmacéuticos y aguas de tocador.</w:t>
      </w:r>
    </w:p>
    <w:p w:rsidR="006A4D59" w:rsidRPr="0067008A" w:rsidRDefault="00921711" w:rsidP="00677E33">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12. Emita, acepte o presente a la administración tributaria comprobantes de venta, de retención o documentos complementarios por operaciones inexistentes o cuyo monto no coincida con el correspondiente a la operación real.</w:t>
      </w:r>
    </w:p>
    <w:p w:rsidR="006A4D59" w:rsidRPr="0067008A" w:rsidRDefault="00921711" w:rsidP="00677E33">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13. Emita comprobantes de venta por operaciones realizadas con empresas fantasmas, inexistentes o supuestas.</w:t>
      </w:r>
    </w:p>
    <w:p w:rsidR="006A4D59" w:rsidRPr="0067008A" w:rsidRDefault="00921711" w:rsidP="00677E33">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14. Presente a la administración tributaria comprobantes de venta por operaciones realizadas con empresas fantasmas, inexistentes o supuestas.</w:t>
      </w:r>
    </w:p>
    <w:p w:rsidR="006A4D59" w:rsidRPr="0067008A" w:rsidRDefault="00921711" w:rsidP="00677E33">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15. Omita ingresos, incluya costos, gastos, deducciones, exoneraciones, rebajas o retenciones falsas o inexistentes o superiores a las que procedan legalmente, para evitar el pago de los tributos debidos.</w:t>
      </w:r>
    </w:p>
    <w:p w:rsidR="006A4D59" w:rsidRPr="0067008A" w:rsidRDefault="00921711" w:rsidP="00677E33">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16. Extienda a terceros el beneficio de un derecho a subsidios, rebajas, exenciones, estímulos fiscales o se beneficie de los mismos sin derecho.</w:t>
      </w:r>
    </w:p>
    <w:p w:rsidR="006A4D59" w:rsidRPr="0067008A" w:rsidRDefault="00921711" w:rsidP="00677E33">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17. Simule uno o más actos, contratos para obtener o dar un beneficio de subsidio, rebaja, exención o estímulo fiscal.</w:t>
      </w:r>
    </w:p>
    <w:p w:rsidR="006A4D59" w:rsidRPr="0067008A" w:rsidRDefault="00921711" w:rsidP="00677E33">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18. Exista falta de entrega deliberada, total o parcial, por parte de los agentes de retención o percepción de los impuestos retenidos o percibidos, después de diez días de vencido el plazo establecido en la norma para hacerlo.</w:t>
      </w:r>
    </w:p>
    <w:p w:rsidR="006A4D59" w:rsidRPr="0067008A" w:rsidRDefault="00921711" w:rsidP="00677E33">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19. Exista obtención indebida de una devolución de tributos, intereses o multas.</w:t>
      </w:r>
    </w:p>
    <w:p w:rsidR="006A4D59" w:rsidRPr="0067008A" w:rsidRDefault="00921711" w:rsidP="002E7BE5">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20.Utilizar personas naturales interpuestas, o personas jurídicas fantasmas o supuestas, residentes en el Ecuador o en cualquier otra jurisdicción, con el fin de evadir el cumplimiento de las obligaciones tributarias.</w:t>
      </w:r>
    </w:p>
    <w:p w:rsidR="006A4D59" w:rsidRPr="0067008A" w:rsidRDefault="00921711" w:rsidP="002E7BE5">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Las penas aplicables al delito de defraudación son:</w:t>
      </w:r>
    </w:p>
    <w:p w:rsidR="006A4D59" w:rsidRPr="0067008A" w:rsidRDefault="00921711" w:rsidP="00677E33">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En los casos de los numerales del 1 al 11, será sancionada con pena privativa de libertad de uno a tres años.</w:t>
      </w:r>
    </w:p>
    <w:p w:rsidR="006A4D59" w:rsidRPr="0067008A" w:rsidRDefault="00921711" w:rsidP="00677E33">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En los casos de los numerales del 12 al 14, será sancionada con pena privativa de libertad de tres a cinco años. Cuando el monto de los comprobantes de venta supere los cien salarios básicos unificados del trabajador en general, será sancionada con el máximo de la pena privativa de libertad prevista para estos delitos.</w:t>
      </w:r>
    </w:p>
    <w:p w:rsidR="006A4D59" w:rsidRPr="0067008A" w:rsidRDefault="00921711" w:rsidP="00677E33">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En los casos de los numerales del 15 al 17, será sancionada con pena privativa de libertad de cinco a siete años. Cuando los impuestos defraudados superen los cien salarios básicos unificados del trabajador en general, será sancionada con el máximo de la pena privativa de libertad prevista para estos delitos.</w:t>
      </w:r>
    </w:p>
    <w:p w:rsidR="006A4D59" w:rsidRPr="0067008A" w:rsidRDefault="00921711" w:rsidP="00677E33">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En el caso de los numerales 18, 19 y 20, será sancionada con pena privativa de libertad de cinco a siete años. Cuando los impuestos retenidos o percibidos que no hayan sido declarados o pagados, así como en los casos de impuestos que hayan sido devueltos dolosamente, superen los cien salarios básicos unificados del trabajador en general, será sancionada con pena privativa de libertad de siete a diez años.</w:t>
      </w:r>
    </w:p>
    <w:p w:rsidR="006A4D59" w:rsidRPr="0067008A" w:rsidRDefault="00921711" w:rsidP="00677E33">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Constituye defraudación agravada y será sancionada con el máximo de la pena prevista para cada caso, la cometida con la participación de uno o más funcionarios o servidores de la administración tributaria y acarreará, además, la destitución del cargo de dichos funcionarios o servidores.</w:t>
      </w:r>
    </w:p>
    <w:p w:rsidR="006A4D59" w:rsidRPr="0067008A" w:rsidRDefault="00921711" w:rsidP="00677E33">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En el caso de personas jurídicas, sociedades o cualquier otra entidad que, aunque carente de personería jurídica, constituya una unidad económica o un patrimonio independiente de la de sus miembros, de conformidad con lo dispuesto en este Código, serán sancionadas con pena de extinción de la persona jurídica y multa de cincuenta a cien salarios básicos unificados del trabajador en general.</w:t>
      </w:r>
    </w:p>
    <w:p w:rsidR="006A4D59" w:rsidRPr="0067008A" w:rsidRDefault="00921711" w:rsidP="00677E33">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Los representantes legales y el contador, respecto de las declaraciones u otras actuaciones realizadas por ellos, serán responsables como autores en la defraudación tributaria en beneficio de la persona jurídica o natural, según corresponda, sin perjuicio de la responsabilidad de los socios, accionistas, empleados, trabajadores o profesionales que hayan participado deliberadamente en dicha defraudación, aunque no hayan actuado con mandato alguno.</w:t>
      </w:r>
    </w:p>
    <w:p w:rsidR="006A4D59" w:rsidRPr="0067008A" w:rsidRDefault="00921711" w:rsidP="00677E33">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En los casos en los que la o el agente de retención o agente de percepción sea una institución del Estado, la o el funcionario encargado de la recaudación, declaración y entrega de los impuestos percibidos o retenidos al sujeto activo, además de la pena privativa de libertad por la defraudación, sin perjuicio de que se configure un delito más grave, será sancionado con la destitución y quedará inhabilitado para ocupar cargos públicos por seis meses.</w:t>
      </w:r>
    </w:p>
    <w:p w:rsidR="006A4D59" w:rsidRPr="0067008A" w:rsidRDefault="00921711" w:rsidP="00677E33">
      <w:pPr>
        <w:spacing w:after="240" w:line="360" w:lineRule="auto"/>
        <w:ind w:left="280" w:right="280"/>
        <w:jc w:val="both"/>
        <w:rPr>
          <w:rFonts w:ascii="Times New Roman" w:hAnsi="Times New Roman" w:cs="Times New Roman"/>
        </w:rPr>
      </w:pPr>
      <w:r w:rsidRPr="0067008A">
        <w:rPr>
          <w:rFonts w:ascii="Times New Roman" w:hAnsi="Times New Roman" w:cs="Times New Roman"/>
          <w:i/>
          <w:color w:val="212121"/>
        </w:rPr>
        <w:t>Cada caso será investigado, juzgado y sancionado sin perjuicio del cumplimiento de las obligaciones tributarias, así como del pago de los impuestos debidos”</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Es decir, los elementos del tipo penal previsto en el artículo 298 son los siguientes: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 </w:t>
      </w:r>
    </w:p>
    <w:tbl>
      <w:tblPr>
        <w:tblW w:w="8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4441"/>
        <w:gridCol w:w="4439"/>
      </w:tblGrid>
      <w:tr w:rsidR="006A4D59" w:rsidRPr="0067008A">
        <w:trPr>
          <w:trHeight w:val="485"/>
        </w:trPr>
        <w:tc>
          <w:tcPr>
            <w:tcW w:w="4440" w:type="dxa"/>
            <w:tcBorders>
              <w:top w:val="single" w:sz="8" w:space="0" w:color="000000"/>
              <w:left w:val="single" w:sz="8" w:space="0" w:color="000000"/>
              <w:bottom w:val="single" w:sz="8" w:space="0" w:color="000000"/>
              <w:right w:val="single" w:sz="8" w:space="0" w:color="000000"/>
            </w:tcBorders>
            <w:shd w:val="clear" w:color="auto" w:fill="auto"/>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Sujeto activo</w:t>
            </w:r>
          </w:p>
        </w:tc>
        <w:tc>
          <w:tcPr>
            <w:tcW w:w="4439" w:type="dxa"/>
            <w:tcBorders>
              <w:top w:val="single" w:sz="8" w:space="0" w:color="000000"/>
              <w:left w:val="single" w:sz="6" w:space="0" w:color="000000"/>
              <w:bottom w:val="single" w:sz="8" w:space="0" w:color="000000"/>
              <w:right w:val="single" w:sz="8" w:space="0" w:color="000000"/>
            </w:tcBorders>
            <w:shd w:val="clear" w:color="auto" w:fill="auto"/>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Cualquier persona</w:t>
            </w:r>
          </w:p>
        </w:tc>
      </w:tr>
      <w:tr w:rsidR="006A4D59" w:rsidRPr="0067008A">
        <w:trPr>
          <w:trHeight w:val="485"/>
        </w:trPr>
        <w:tc>
          <w:tcPr>
            <w:tcW w:w="4440" w:type="dxa"/>
            <w:tcBorders>
              <w:top w:val="single" w:sz="6" w:space="0" w:color="000000"/>
              <w:left w:val="single" w:sz="8" w:space="0" w:color="000000"/>
              <w:bottom w:val="single" w:sz="8" w:space="0" w:color="000000"/>
              <w:right w:val="single" w:sz="8" w:space="0" w:color="000000"/>
            </w:tcBorders>
            <w:shd w:val="clear" w:color="auto" w:fill="auto"/>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Sujeto pasivo</w:t>
            </w:r>
          </w:p>
        </w:tc>
        <w:tc>
          <w:tcPr>
            <w:tcW w:w="4439" w:type="dxa"/>
            <w:tcBorders>
              <w:top w:val="single" w:sz="6" w:space="0" w:color="000000"/>
              <w:left w:val="single" w:sz="6" w:space="0" w:color="000000"/>
              <w:bottom w:val="single" w:sz="8" w:space="0" w:color="000000"/>
              <w:right w:val="single" w:sz="8" w:space="0" w:color="000000"/>
            </w:tcBorders>
            <w:shd w:val="clear" w:color="auto" w:fill="auto"/>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Estado – Administración tributaria </w:t>
            </w:r>
          </w:p>
        </w:tc>
      </w:tr>
      <w:tr w:rsidR="006A4D59" w:rsidRPr="0067008A">
        <w:trPr>
          <w:trHeight w:val="755"/>
        </w:trPr>
        <w:tc>
          <w:tcPr>
            <w:tcW w:w="4440" w:type="dxa"/>
            <w:tcBorders>
              <w:top w:val="single" w:sz="6" w:space="0" w:color="000000"/>
              <w:left w:val="single" w:sz="8" w:space="0" w:color="000000"/>
              <w:bottom w:val="single" w:sz="8" w:space="0" w:color="000000"/>
              <w:right w:val="single" w:sz="8" w:space="0" w:color="000000"/>
            </w:tcBorders>
            <w:shd w:val="clear" w:color="auto" w:fill="auto"/>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Verbo rector </w:t>
            </w:r>
          </w:p>
        </w:tc>
        <w:tc>
          <w:tcPr>
            <w:tcW w:w="4439" w:type="dxa"/>
            <w:tcBorders>
              <w:top w:val="single" w:sz="6" w:space="0" w:color="000000"/>
              <w:left w:val="single" w:sz="6" w:space="0" w:color="000000"/>
              <w:bottom w:val="single" w:sz="8" w:space="0" w:color="000000"/>
              <w:right w:val="single" w:sz="8" w:space="0" w:color="000000"/>
            </w:tcBorders>
            <w:shd w:val="clear" w:color="auto" w:fill="auto"/>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Simular, ocultar, omitir, falsear o engañar</w:t>
            </w:r>
          </w:p>
        </w:tc>
      </w:tr>
      <w:tr w:rsidR="006A4D59" w:rsidRPr="0067008A">
        <w:trPr>
          <w:trHeight w:val="485"/>
        </w:trPr>
        <w:tc>
          <w:tcPr>
            <w:tcW w:w="4440" w:type="dxa"/>
            <w:tcBorders>
              <w:top w:val="single" w:sz="6" w:space="0" w:color="000000"/>
              <w:left w:val="single" w:sz="8" w:space="0" w:color="000000"/>
              <w:bottom w:val="single" w:sz="8" w:space="0" w:color="000000"/>
              <w:right w:val="single" w:sz="8" w:space="0" w:color="000000"/>
            </w:tcBorders>
            <w:shd w:val="clear" w:color="auto" w:fill="auto"/>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Bien jurídico protegido</w:t>
            </w:r>
          </w:p>
        </w:tc>
        <w:tc>
          <w:tcPr>
            <w:tcW w:w="4439" w:type="dxa"/>
            <w:tcBorders>
              <w:top w:val="single" w:sz="6" w:space="0" w:color="000000"/>
              <w:left w:val="single" w:sz="6" w:space="0" w:color="000000"/>
              <w:bottom w:val="single" w:sz="8" w:space="0" w:color="000000"/>
              <w:right w:val="single" w:sz="8" w:space="0" w:color="000000"/>
            </w:tcBorders>
            <w:shd w:val="clear" w:color="auto" w:fill="auto"/>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Régimen desarrollo</w:t>
            </w:r>
          </w:p>
        </w:tc>
      </w:tr>
    </w:tbl>
    <w:p w:rsidR="006A4D59" w:rsidRPr="0067008A" w:rsidRDefault="006A4D59" w:rsidP="00677E33">
      <w:pPr>
        <w:spacing w:after="240" w:line="360" w:lineRule="auto"/>
        <w:jc w:val="both"/>
        <w:rPr>
          <w:rFonts w:ascii="Times New Roman" w:hAnsi="Times New Roman" w:cs="Times New Roman"/>
          <w:color w:val="212121"/>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color w:val="212121"/>
        </w:rPr>
        <w:t>El Código Orgánico Integral Penal en ese sentido ha previsto como conducta dolosa el simular, ocultar, omitir, falsear o engañar a la Administración Tributaria a través de varios mecanismos entre los cuales consta el número 6 por el cual se configura la infracción penal cuando el sujeto activo hace constar en las declaraciones tributarias datos falsos, incompletos, desfigurados o adulterados; así mismo en el número 15 el delito también se configura cuando se omite ingresos, incluye costos, gastos, deducciones, exoneraciones, rebajas o retenciones falsas o inexistentes o superiores a las que procedan legalmente, para evitar el pago de los tributos debidos.</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Bajo esa perspectiva será necesario que se emprendan las investigaciones correspondientes a fin de determinar si el Presidente de la República o su círculo cercano han adecuado su conducta al tipo penal antes descrito, con lo cual se tendría que verificar si el sujeto activo es el señor Guillermo Lasso Mendoza quien con la finalidad de atentar contra el régimen de desarrollo, ha buscado perjudicar a la administración tributaria a través de la ejecución de actos que tengan el objetivo de simular, ocultar, falsear, omitir o engañar para que la administración tributaria no determine en su contra las obligaciones tributarias pertinentes como consecuencia de no transparentarse de forma verdadera su patrimonio en los términos que se explican a continuación.</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color w:val="212121"/>
        </w:rPr>
        <w:t>Es por ello que llama la atención de esta Comisión que en declaraciones públicas el Presidente de la República ha manifestado en varias ocasiones haber tributado alrededor de 588 millones de dólares en alrededor de 15 años por concepto de varios impuestos imputándose para sí los tributos pagados por el Fideicomiso GLM, la Corporación MultiBG y el Banco de Guayaquil, sin embargo en su declaración patrimonial de 24 de mayo de 2021, al asumir el cargo de Presidente de la República se declara como patrimonio un monto de alrededor de 39 millones de dólares, es decir, si acogemos las declaraciones públicas realizadas por el señor Guillero Lasso Mendoza por el cual se imputa como propios los impuestos pagados por todas las entidades antes referidas, resulta curioso que haya tributado quince veces más de lo que ha declarado tener por concepto de patrimonio.</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color w:val="212121"/>
        </w:rPr>
        <w:t>De la misma manera, despierta inquietud que frente a la liquidación de Pago No. 09201806500138403 por Diferencias en las Declaración de la Contribución Solidaria sobre el Patrimonio, en el cual el SRI estableció la participación directa e indirecta del sujeto pasivo Lasso Mendoza Guillermo Alberto Santiago en los derechos representativos de capital en las sociedades Banco de Guayaquil S.A., Corporación MultiBG S.A., Promoquil S.A., Fideicomiso de Administración GYD, Fideicomiso de Administración GLM y Banisi Holding S.A; el señor Presidente de la República presentó un reclamo administrativo para dejar sin efecto dicha liquidación bajo el argumento de que dichas empresas no constituían o no eran parte de su patrimonio y por lo tanto no era procedente el pago de la contribución solidaria sobre el patrimonio como consecuencia de la normativa que se generó después del terremoto del año 2016.</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color w:val="212121"/>
        </w:rPr>
        <w:t>Es decir, se presenta una nueva contradicción pues nuevamente es preciso indagar sobre las declaraciones públicas del Presidente de la República de imputarse el pago de impuestos de instituciones que no las reconoce como su patrimonio ante las instituciones públicas.</w:t>
      </w:r>
    </w:p>
    <w:p w:rsidR="006A4D59" w:rsidRPr="0067008A" w:rsidRDefault="006A4D59" w:rsidP="00677E33">
      <w:pPr>
        <w:spacing w:after="240" w:line="360" w:lineRule="auto"/>
        <w:jc w:val="both"/>
        <w:rPr>
          <w:rFonts w:ascii="Times New Roman" w:hAnsi="Times New Roman" w:cs="Times New Roman"/>
          <w:color w:val="212121"/>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color w:val="212121"/>
        </w:rPr>
        <w:t>De la misma manera, llama la atención que el Presidente de la República en declaraciones públicas ha afirmado también haber pagado alrededor de 1.5 millones de dólares por concepto de impuesto a salida de divisas desde el año 2011 hasta la fecha, si bien es cierto dicho impuesto es gradual, si únicamente suponemos que se ha pagado el 5% sobre el capital que presuntamente salió del país eso quiere decir que han salido del país una cantidad aproximada de 31 millones de dólares, al ser el señor Guillermo Lasso residente fiscal en el Ecuador conforme lo dispone el artículo 4.1 de la Ley de Régimen Tributario Interno y al aplicársele también el concepto de renta global se debería haber reportado si sobre esos 31 millones ha existido algún rédito económico pues aquello podría servirle incluso para aplicar convenios sobre doble tributación. Al haber consultado esta situación al Servicio de Rentas Internas en su comparecencia a la Comisión no se tuvo respuesta alguna por lo que es preciso que esta situación también se investigue.</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color w:val="212121"/>
        </w:rPr>
        <w:t>Finalmente, conforme se desprende de la investigación realizada tanto por la periodista argentina Cinthya García, en sus reportajes publicados en el medio página 12, como las publicaciones del Consorcio Internacional de Periodistas de Investigación (CICJ por sus siglas en inglés) sobre un presunto entramado off shore del cuál sería dueño o partícipe el Presidente de la República por varios años atrás, es preciso que se investigue si sobre aquellas entidades, ya sea de forma directa o bajo la figura de partes relacionadas se han reportado, así mismo, bajo el concepto de residencia fiscal y renta global, impuestos a la administración tributaria del Ecuador, pues de no ser el caso podría así mismo configurarse la tipificación penal prevista en el artículo 298 del Código Orgánico Integral Penal.</w:t>
      </w:r>
      <w:r w:rsidR="00677E33" w:rsidRPr="0067008A">
        <w:rPr>
          <w:rFonts w:ascii="Times New Roman" w:hAnsi="Times New Roman" w:cs="Times New Roman"/>
          <w:color w:val="212121"/>
        </w:rPr>
        <w:t xml:space="preserve">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color w:val="212121"/>
        </w:rPr>
        <w:t xml:space="preserve">Finalmente, respecto de las revelaciones emitidas por el Consorcio Internacional de Periodistas de investigación sobre el caso “Pandora Papers” preocupa a esta comisión que las empresas señaladas en dicha investigación y que son parte o fueron parte del patrimonio del ahora presidente Guillermo Lasso Mendoza hayan constatado en sus declaraciones patrimoniales ante el Servicio de Rentas Internas. </w:t>
      </w:r>
    </w:p>
    <w:p w:rsidR="006A4D59" w:rsidRPr="0067008A" w:rsidRDefault="001A2FF9" w:rsidP="00677E33">
      <w:pPr>
        <w:spacing w:after="240" w:line="360" w:lineRule="auto"/>
        <w:jc w:val="both"/>
        <w:rPr>
          <w:rFonts w:ascii="Times New Roman" w:hAnsi="Times New Roman" w:cs="Times New Roman"/>
          <w:color w:val="212121"/>
          <w:highlight w:val="yellow"/>
        </w:rPr>
      </w:pPr>
      <w:r w:rsidRPr="00CC67C2">
        <w:rPr>
          <w:rFonts w:ascii="Times New Roman" w:hAnsi="Times New Roman" w:cs="Times New Roman"/>
          <w:noProof/>
        </w:rPr>
        <w:drawing>
          <wp:inline distT="0" distB="0" distL="0" distR="0">
            <wp:extent cx="5598160" cy="4763770"/>
            <wp:effectExtent l="0" t="0" r="0" b="0"/>
            <wp:docPr id="20"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png"/>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98160" cy="4763770"/>
                    </a:xfrm>
                    <a:prstGeom prst="rect">
                      <a:avLst/>
                    </a:prstGeom>
                    <a:noFill/>
                    <a:ln>
                      <a:noFill/>
                    </a:ln>
                  </pic:spPr>
                </pic:pic>
              </a:graphicData>
            </a:graphic>
          </wp:inline>
        </w:drawing>
      </w:r>
    </w:p>
    <w:p w:rsidR="006A4D59" w:rsidRPr="0067008A" w:rsidRDefault="00921711" w:rsidP="00677E33">
      <w:pPr>
        <w:spacing w:after="240" w:line="360" w:lineRule="auto"/>
        <w:jc w:val="both"/>
        <w:rPr>
          <w:rFonts w:ascii="Times New Roman" w:hAnsi="Times New Roman" w:cs="Times New Roman"/>
          <w:color w:val="212121"/>
          <w:highlight w:val="yellow"/>
        </w:rPr>
      </w:pPr>
      <w:r w:rsidRPr="0067008A">
        <w:rPr>
          <w:rFonts w:ascii="Times New Roman" w:hAnsi="Times New Roman" w:cs="Times New Roman"/>
          <w:color w:val="212121"/>
          <w:highlight w:val="yellow"/>
        </w:rPr>
        <w:t xml:space="preserve">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color w:val="212121"/>
        </w:rPr>
        <w:t>Pese a que el primer mandatario en varios pronunciamientos públicos ha señalado haberse deshecho de las propiedades off shore radicadas en paraísos fiscales llama la atención que las mismas, si en algún momento fueron parte de su patrimonio, pudieran no constar en sus declaraciones de impuestos bajo la figura de residencia fiscal y renta global, con lo cual se habría nuevamente podido incurrir en las prohibiciones del artículo 298 del Código Orgánico Integral Penal al haberse omitido u ocultado estos bienes generando que el fisco no pueda percibir los ingresos por concepto de impuestos probablemente bajo una conducta dolosa que podría haber buscado engañar a la administración tributaria, por lo que es urgente y pertinente que estos hechos sean investigados por la Fiscalía de modo que se puedan aplicar todas las técnicas de investigación y de ser el caso impulsar las acciones correspondientes, ya que lamentablemente como es de conocimiento público la Directora General del Servicio de Rentas Internas en su comparecencia ante la Comisión de Garantías Constitucionales, Derechos Humanos, Derechos Colectivos y de la Interculturalidad y también a través de sus respuestas a los requerimientos de información realizados por la Asambleísta Viviana Veloz, se ha señalado que no es posible entregar la información sobre las declaraciones del señor Guillermo Lasso por tratarse de información reservada, pese a que el artículo 9 número 10 de la Ley Orgánica de la Función Legislativa dispone a los funcionarios entregar la información calificada como reservada, secreta o secretísima para el ejercicio de las competencias de los legisladores.</w:t>
      </w:r>
      <w:r w:rsidR="00677E33" w:rsidRPr="0067008A">
        <w:rPr>
          <w:rFonts w:ascii="Times New Roman" w:hAnsi="Times New Roman" w:cs="Times New Roman"/>
          <w:color w:val="212121"/>
        </w:rPr>
        <w:t xml:space="preserve"> </w:t>
      </w:r>
    </w:p>
    <w:p w:rsidR="006A4D59" w:rsidRPr="0067008A" w:rsidRDefault="00921711" w:rsidP="00677E33">
      <w:pPr>
        <w:spacing w:after="240" w:line="360" w:lineRule="auto"/>
        <w:jc w:val="both"/>
        <w:rPr>
          <w:rFonts w:ascii="Times New Roman" w:hAnsi="Times New Roman" w:cs="Times New Roman"/>
          <w:color w:val="212121"/>
        </w:rPr>
      </w:pPr>
      <w:r w:rsidRPr="0067008A">
        <w:rPr>
          <w:rFonts w:ascii="Times New Roman" w:hAnsi="Times New Roman" w:cs="Times New Roman"/>
          <w:i/>
          <w:color w:val="212121"/>
          <w:u w:val="single"/>
        </w:rPr>
        <w:t>Necesidad de investigar un posible Testaferrismo</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color w:val="212121"/>
        </w:rPr>
        <w:t>El testaferrismo en la legislación ecuatoriana es un delito contra la eficiencia de la administración pública y se trata de una figura penal por la cual se verifica una asociación de personas que tienen la intención dolosa de cumplir con los elementos objetivos del tipo penal, ya sea a través de prestar el nombre, firmas, facturas, adquirir bienes, entre otros, a fin de otorgar un beneficio ilegítimo a un tercero.</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color w:val="212121"/>
        </w:rPr>
        <w:t xml:space="preserve">Sin embargo, bajo la perspectiva de la legislación ecuatoriana la sanción al delito de testaferrismo se dirige a quien adecua su conducta al aparentar como suyos aquellos actos que quien se beneficia pretende ocultar, es decir, la sanción es para el testaferro y no para el beneficiario. Adicionalmente, dicha tipificación presenta una dificultad y es que para que proceda el mismo es preciso que se verifique adicionalmente el cometimiento de un delito conexo que puede ser el de enriquecimiento ilícito o el de enriquecimiento privado no justificado, es decir, se tendría adicionalmente que investigar si el beneficiario ha adecuado su conducta a obtener un incremento patrimonial de forma ilícita. </w:t>
      </w:r>
    </w:p>
    <w:p w:rsidR="006A4D59" w:rsidRPr="0067008A" w:rsidRDefault="00921711" w:rsidP="00677E33">
      <w:pPr>
        <w:spacing w:after="240" w:line="360" w:lineRule="auto"/>
        <w:jc w:val="both"/>
        <w:rPr>
          <w:rFonts w:ascii="Times New Roman" w:hAnsi="Times New Roman" w:cs="Times New Roman"/>
          <w:color w:val="212121"/>
        </w:rPr>
      </w:pPr>
      <w:r w:rsidRPr="0067008A">
        <w:rPr>
          <w:rFonts w:ascii="Times New Roman" w:hAnsi="Times New Roman" w:cs="Times New Roman"/>
          <w:color w:val="212121"/>
        </w:rPr>
        <w:t>En ese sentido, el artículo 289 del Código Orgánico Integral Penal, tipifica la conducta de testaferrismo de la siguiente forma:</w:t>
      </w:r>
    </w:p>
    <w:p w:rsidR="006A4D59" w:rsidRPr="0067008A" w:rsidRDefault="00921711" w:rsidP="002E7BE5">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Art. 289.- Testaferrismo.-La persona que consienta en aparentar como suyos bienes muebles, inmuebles, títulos, acciones, participaciones, dinero, valores o efectos que lo representen, producto del enriquecimiento ilícito de la o el servidor o ex servidor público o producto del enriquecimiento privado no justificado, será sancionada con pena privativa de libertad de tres a cinco años.</w:t>
      </w:r>
    </w:p>
    <w:p w:rsidR="006A4D59" w:rsidRPr="0067008A" w:rsidRDefault="00921711" w:rsidP="002E7BE5">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En caso de establecerse responsabilidad de personas jurídicas serán sancionadas con su extinción y multa de multa de quinientos a mil salarios básicos unificados del trabajador en general.</w:t>
      </w:r>
    </w:p>
    <w:p w:rsidR="006A4D59" w:rsidRPr="0067008A" w:rsidRDefault="00921711" w:rsidP="002E7BE5">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Cuando los bienes, títulos, acciones, participaciones, dinero, valores o efectos que lo representen provengan de la producción, oferta, tráfico ilícito de sustancias catalogadas sujetas a fiscalización, trata de personas, diversas formas de explotación, delincuencia organizada, estafa o que atenten contra los derechos humanos, será sancionada con la misma pena del delito que se encubre.</w:t>
      </w:r>
    </w:p>
    <w:p w:rsidR="006A4D59" w:rsidRPr="0067008A" w:rsidRDefault="00921711" w:rsidP="002E7BE5">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La persona que, siendo titular de autorización de armaje de embarcaciones o permisos de operación turística en el Parque Nacional Galápagos, Reserva Marina, en los centros poblados, o de autorización en cualquier otra actividad productiva de la provincia de Galápagos, en beneficio propio o de un tercero, haga constar como suyos bienes o permita ilegítimamente el uso de sus derechos que sirvan para tal fin, será sancionada con pena privativa de libertad de tres a cinco años.</w:t>
      </w:r>
    </w:p>
    <w:p w:rsidR="006A4D59" w:rsidRPr="0067008A" w:rsidRDefault="00921711" w:rsidP="002E7BE5">
      <w:pPr>
        <w:spacing w:after="240" w:line="360" w:lineRule="auto"/>
        <w:ind w:left="280" w:right="280"/>
        <w:jc w:val="both"/>
        <w:rPr>
          <w:rFonts w:ascii="Times New Roman" w:hAnsi="Times New Roman" w:cs="Times New Roman"/>
          <w:color w:val="212121"/>
        </w:rPr>
      </w:pPr>
      <w:r w:rsidRPr="0067008A">
        <w:rPr>
          <w:rFonts w:ascii="Times New Roman" w:hAnsi="Times New Roman" w:cs="Times New Roman"/>
          <w:i/>
          <w:color w:val="212121"/>
        </w:rPr>
        <w:t>Serán comisados los instrumentos utilizados en el cometimiento del delito así como los productos o réditos obtenidos</w:t>
      </w:r>
      <w:r w:rsidRPr="0067008A">
        <w:rPr>
          <w:rFonts w:ascii="Times New Roman" w:hAnsi="Times New Roman" w:cs="Times New Roman"/>
          <w:color w:val="212121"/>
        </w:rPr>
        <w:t>.</w:t>
      </w:r>
    </w:p>
    <w:p w:rsidR="006A4D59" w:rsidRPr="0067008A" w:rsidRDefault="00921711" w:rsidP="00677E33">
      <w:pPr>
        <w:spacing w:after="240" w:line="360" w:lineRule="auto"/>
        <w:jc w:val="both"/>
        <w:rPr>
          <w:rFonts w:ascii="Times New Roman" w:hAnsi="Times New Roman" w:cs="Times New Roman"/>
          <w:color w:val="212121"/>
        </w:rPr>
      </w:pPr>
      <w:r w:rsidRPr="0067008A">
        <w:rPr>
          <w:rFonts w:ascii="Times New Roman" w:hAnsi="Times New Roman" w:cs="Times New Roman"/>
          <w:color w:val="212121"/>
        </w:rPr>
        <w:t>Es decir, la estructura del tipo penal previsto en el artículo 289 del Código Orgánico Integral Penal muestra los siguientes elementos:</w:t>
      </w:r>
    </w:p>
    <w:p w:rsidR="006A4D59" w:rsidRPr="0067008A" w:rsidRDefault="00921711" w:rsidP="00677E33">
      <w:pPr>
        <w:spacing w:after="240" w:line="360" w:lineRule="auto"/>
        <w:jc w:val="both"/>
        <w:rPr>
          <w:rFonts w:ascii="Times New Roman" w:hAnsi="Times New Roman" w:cs="Times New Roman"/>
          <w:color w:val="212121"/>
        </w:rPr>
      </w:pPr>
      <w:r w:rsidRPr="0067008A">
        <w:rPr>
          <w:rFonts w:ascii="Times New Roman" w:hAnsi="Times New Roman" w:cs="Times New Roman"/>
          <w:color w:val="212121"/>
        </w:rPr>
        <w:t xml:space="preserve"> </w:t>
      </w:r>
    </w:p>
    <w:tbl>
      <w:tblPr>
        <w:tblW w:w="8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4441"/>
        <w:gridCol w:w="4439"/>
      </w:tblGrid>
      <w:tr w:rsidR="006A4D59" w:rsidRPr="0067008A">
        <w:trPr>
          <w:trHeight w:val="485"/>
        </w:trPr>
        <w:tc>
          <w:tcPr>
            <w:tcW w:w="4440" w:type="dxa"/>
            <w:tcBorders>
              <w:top w:val="single" w:sz="8" w:space="0" w:color="000000"/>
              <w:left w:val="single" w:sz="8" w:space="0" w:color="000000"/>
              <w:bottom w:val="single" w:sz="8" w:space="0" w:color="000000"/>
              <w:right w:val="single" w:sz="8" w:space="0" w:color="000000"/>
            </w:tcBorders>
            <w:shd w:val="clear" w:color="auto" w:fill="auto"/>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Sujeto activo</w:t>
            </w:r>
          </w:p>
        </w:tc>
        <w:tc>
          <w:tcPr>
            <w:tcW w:w="4439" w:type="dxa"/>
            <w:tcBorders>
              <w:top w:val="single" w:sz="8" w:space="0" w:color="000000"/>
              <w:left w:val="single" w:sz="6" w:space="0" w:color="000000"/>
              <w:bottom w:val="single" w:sz="8" w:space="0" w:color="000000"/>
              <w:right w:val="single" w:sz="8" w:space="0" w:color="000000"/>
            </w:tcBorders>
            <w:shd w:val="clear" w:color="auto" w:fill="auto"/>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Cualquier persona</w:t>
            </w:r>
          </w:p>
        </w:tc>
      </w:tr>
      <w:tr w:rsidR="006A4D59" w:rsidRPr="0067008A">
        <w:trPr>
          <w:trHeight w:val="485"/>
        </w:trPr>
        <w:tc>
          <w:tcPr>
            <w:tcW w:w="4440" w:type="dxa"/>
            <w:tcBorders>
              <w:top w:val="single" w:sz="6" w:space="0" w:color="000000"/>
              <w:left w:val="single" w:sz="8" w:space="0" w:color="000000"/>
              <w:bottom w:val="single" w:sz="8" w:space="0" w:color="000000"/>
              <w:right w:val="single" w:sz="8" w:space="0" w:color="000000"/>
            </w:tcBorders>
            <w:shd w:val="clear" w:color="auto" w:fill="auto"/>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Sujeto pasivo</w:t>
            </w:r>
          </w:p>
        </w:tc>
        <w:tc>
          <w:tcPr>
            <w:tcW w:w="4439" w:type="dxa"/>
            <w:tcBorders>
              <w:top w:val="single" w:sz="6" w:space="0" w:color="000000"/>
              <w:left w:val="single" w:sz="6" w:space="0" w:color="000000"/>
              <w:bottom w:val="single" w:sz="8" w:space="0" w:color="000000"/>
              <w:right w:val="single" w:sz="8" w:space="0" w:color="000000"/>
            </w:tcBorders>
            <w:shd w:val="clear" w:color="auto" w:fill="auto"/>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Estado – Administración pública </w:t>
            </w:r>
          </w:p>
        </w:tc>
      </w:tr>
      <w:tr w:rsidR="006A4D59" w:rsidRPr="0067008A">
        <w:trPr>
          <w:trHeight w:val="1295"/>
        </w:trPr>
        <w:tc>
          <w:tcPr>
            <w:tcW w:w="4440" w:type="dxa"/>
            <w:tcBorders>
              <w:top w:val="single" w:sz="6" w:space="0" w:color="000000"/>
              <w:left w:val="single" w:sz="8" w:space="0" w:color="000000"/>
              <w:bottom w:val="single" w:sz="8" w:space="0" w:color="000000"/>
              <w:right w:val="single" w:sz="8" w:space="0" w:color="000000"/>
            </w:tcBorders>
            <w:shd w:val="clear" w:color="auto" w:fill="auto"/>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Verbo rector </w:t>
            </w:r>
          </w:p>
        </w:tc>
        <w:tc>
          <w:tcPr>
            <w:tcW w:w="4439" w:type="dxa"/>
            <w:tcBorders>
              <w:top w:val="single" w:sz="6" w:space="0" w:color="000000"/>
              <w:left w:val="single" w:sz="6" w:space="0" w:color="000000"/>
              <w:bottom w:val="single" w:sz="8" w:space="0" w:color="000000"/>
              <w:right w:val="single" w:sz="8" w:space="0" w:color="000000"/>
            </w:tcBorders>
            <w:shd w:val="clear" w:color="auto" w:fill="auto"/>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Consentir en aparentar como propios bienes muebles, inmuebles, títulos, acciones, participaciones, dinero, valores o efectos que lo representen</w:t>
            </w:r>
          </w:p>
        </w:tc>
      </w:tr>
      <w:tr w:rsidR="006A4D59" w:rsidRPr="0067008A">
        <w:trPr>
          <w:trHeight w:val="485"/>
        </w:trPr>
        <w:tc>
          <w:tcPr>
            <w:tcW w:w="4440" w:type="dxa"/>
            <w:tcBorders>
              <w:top w:val="single" w:sz="6" w:space="0" w:color="000000"/>
              <w:left w:val="single" w:sz="8" w:space="0" w:color="000000"/>
              <w:bottom w:val="single" w:sz="8" w:space="0" w:color="000000"/>
              <w:right w:val="single" w:sz="8" w:space="0" w:color="000000"/>
            </w:tcBorders>
            <w:shd w:val="clear" w:color="auto" w:fill="auto"/>
          </w:tcPr>
          <w:p w:rsidR="006A4D59" w:rsidRPr="0067008A" w:rsidRDefault="00921711" w:rsidP="00677E33">
            <w:pPr>
              <w:spacing w:after="240" w:line="360" w:lineRule="auto"/>
              <w:jc w:val="both"/>
              <w:rPr>
                <w:rFonts w:ascii="Times New Roman" w:hAnsi="Times New Roman" w:cs="Times New Roman"/>
                <w:highlight w:val="cyan"/>
              </w:rPr>
            </w:pPr>
            <w:r w:rsidRPr="0067008A">
              <w:rPr>
                <w:rFonts w:ascii="Times New Roman" w:hAnsi="Times New Roman" w:cs="Times New Roman"/>
              </w:rPr>
              <w:t>Bien jurídico protegido</w:t>
            </w:r>
          </w:p>
        </w:tc>
        <w:tc>
          <w:tcPr>
            <w:tcW w:w="4439" w:type="dxa"/>
            <w:tcBorders>
              <w:top w:val="single" w:sz="6" w:space="0" w:color="000000"/>
              <w:left w:val="single" w:sz="6" w:space="0" w:color="000000"/>
              <w:bottom w:val="single" w:sz="8" w:space="0" w:color="000000"/>
              <w:right w:val="single" w:sz="8" w:space="0" w:color="000000"/>
            </w:tcBorders>
            <w:shd w:val="clear" w:color="auto" w:fill="auto"/>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Eficiencia de la Administración Pública</w:t>
            </w:r>
          </w:p>
        </w:tc>
      </w:tr>
    </w:tbl>
    <w:p w:rsidR="006A4D59" w:rsidRPr="0067008A" w:rsidRDefault="006A4D59" w:rsidP="00677E33">
      <w:pPr>
        <w:spacing w:after="240" w:line="360" w:lineRule="auto"/>
        <w:jc w:val="both"/>
        <w:rPr>
          <w:rFonts w:ascii="Times New Roman" w:hAnsi="Times New Roman" w:cs="Times New Roman"/>
          <w:color w:val="212121"/>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color w:val="212121"/>
        </w:rPr>
        <w:t>En el marco de la investigación realizada por la Comisión de Garantías Constitucionales, Derechos Humanos, Derechos Colectivos y de la Interculturalidad, se ha llegado a conocer que varias personas del entorno cercano al Presidente de la República, tal como son su cónyuge, hijos, los señores Euvenia Touriz, Miguel Macías Yerovi, Arturo Serrano Salgado, entre otros quienes habrían puesto a su nombre suyo propiedades y acciones en empresas radicadas en jurisdicciones internacionales como son Banisi S.A., Banisi Holding, Banisi Foundation,</w:t>
      </w:r>
      <w:r w:rsidR="00677E33" w:rsidRPr="0067008A">
        <w:rPr>
          <w:rFonts w:ascii="Times New Roman" w:hAnsi="Times New Roman" w:cs="Times New Roman"/>
          <w:color w:val="212121"/>
        </w:rPr>
        <w:t xml:space="preserve"> </w:t>
      </w:r>
      <w:r w:rsidRPr="0067008A">
        <w:rPr>
          <w:rFonts w:ascii="Times New Roman" w:hAnsi="Times New Roman" w:cs="Times New Roman"/>
          <w:color w:val="212121"/>
        </w:rPr>
        <w:t>Brothers Investment y las 12 empresas off shore denominadas como “Noras”, hechos que no se pueden afirmar de parte de esta comisión por no haber contado con la presencia de las personas antes indicadas que permitan esclarecer los hechos denunciados en los reportajes de Página 12 como en la investigación del ICIJ sobre Pandora Papers, pese haber sido oportunamente invitados a comparecer a esta comisión, por lo que es pertinente que se investigue de parte de la Fiscalía General del Estado si sus conductas se adecuan a la tipificación del artículo 289 con el fin de beneficiar a un tercero a través de la facilitación de la evasión de cumplimiento de disposiciones legales tributarias, administrativas y en especial la Ley Orgánica para la Aplicación de la Consulta Popular efectuada el 19 de febrero de 2017.</w:t>
      </w:r>
      <w:r w:rsidR="00677E33" w:rsidRPr="0067008A">
        <w:rPr>
          <w:rFonts w:ascii="Times New Roman" w:hAnsi="Times New Roman" w:cs="Times New Roman"/>
          <w:color w:val="212121"/>
        </w:rPr>
        <w:t xml:space="preserve"> </w:t>
      </w:r>
    </w:p>
    <w:p w:rsidR="006A4D59" w:rsidRPr="0067008A" w:rsidRDefault="006A4D59" w:rsidP="00677E33">
      <w:pPr>
        <w:spacing w:after="240" w:line="360" w:lineRule="auto"/>
        <w:jc w:val="both"/>
        <w:rPr>
          <w:rFonts w:ascii="Times New Roman" w:hAnsi="Times New Roman" w:cs="Times New Roman"/>
          <w:color w:val="212121"/>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color w:val="212121"/>
        </w:rPr>
        <w:t>En tal sentido, será necesario que Fiscalía inicie las investigaciones correspondientes para determinar si el entorno cercano al Presidente de la República tal como son su cónyuge, hijos, los señores Euvenia Touriz, Miguel Macías Yerovi, Arturo Serrano Salgado, entre otros, con la finalidad perjudicar el correcto desempeño y eficiencia de la administración, ya sea para determinar el verdadero patrimonio del señor Guillermo Lasso y por lo tanto ejecutar los verdaderos alcances de la consulta popular del 19 de febrero de 2017, consintieron, de forma dolosa, en hacer pasar como suyos bienes o dineros que en realidad son de propiedad del señor Lasso Mendoza y de esta manera ocultar e impedir que el Estado pueda determinar si el referido mantiene o no bienes en paraísos fiscales y de esa manera impedir que pueda ejercer el cargo público de Presidente de la República o haber sido candidato, pues se debe recordar que en el marco de las competencias del Consejo Nacional Electoral también era menester determinar con certeza si el entonces candidato poseía o no bienes en paraísos fiscales, lo cual solo pudo verificar a través de las declaraciones juramentadas realizadas por el señor Lasso sin que exista otro mecanismo de contrastación que permita verificar lo contrario.</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i/>
          <w:color w:val="212121"/>
          <w:u w:val="single"/>
        </w:rPr>
        <w:t>Necesidad de investigar un posible Perjurio</w:t>
      </w:r>
    </w:p>
    <w:p w:rsidR="006A4D59" w:rsidRPr="0067008A" w:rsidRDefault="00921711" w:rsidP="00677E33">
      <w:pPr>
        <w:spacing w:after="240" w:line="360" w:lineRule="auto"/>
        <w:jc w:val="both"/>
        <w:rPr>
          <w:rFonts w:ascii="Times New Roman" w:hAnsi="Times New Roman" w:cs="Times New Roman"/>
          <w:color w:val="212121"/>
        </w:rPr>
      </w:pPr>
      <w:r w:rsidRPr="0067008A">
        <w:rPr>
          <w:rFonts w:ascii="Times New Roman" w:hAnsi="Times New Roman" w:cs="Times New Roman"/>
          <w:color w:val="212121"/>
        </w:rPr>
        <w:t>Según la legislación ecuatoriana, el perjurio y el falso testimonio se encuentran tipificados en un mismo artículo. Dicho tipo penal sanciona la conducta por la cual una persona realiza una declaración ante una autoridad competente y en dicha declaración no se presenta la realidad o se tergiversa la verdad. Cabe mencionar que dicha declaración se la debe realizar bajo juramento. Así mismo dicha tipificación sanciona aquella conducta por la cual una persona, a sabiendas de la realidad, ha declarado sobre su patrimonio faltando a la verdad.</w:t>
      </w:r>
    </w:p>
    <w:p w:rsidR="006A4D59" w:rsidRPr="0067008A" w:rsidRDefault="00921711" w:rsidP="00677E33">
      <w:pPr>
        <w:spacing w:after="240" w:line="360" w:lineRule="auto"/>
        <w:jc w:val="both"/>
        <w:rPr>
          <w:rFonts w:ascii="Times New Roman" w:hAnsi="Times New Roman" w:cs="Times New Roman"/>
          <w:color w:val="212121"/>
        </w:rPr>
      </w:pPr>
      <w:r w:rsidRPr="0067008A">
        <w:rPr>
          <w:rFonts w:ascii="Times New Roman" w:hAnsi="Times New Roman" w:cs="Times New Roman"/>
          <w:color w:val="212121"/>
        </w:rPr>
        <w:t>Es decir, dicha conducta penal sanciona a aquella persona que en su declaración patrimonial juramentada, ya sea ante notario o ante autoridad competente, ha faltado a la verdad, ya sea porque no ha declarado completamente su patrimonio o porque no lo haya declarado.</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color w:val="212121"/>
        </w:rPr>
        <w:t>Al respecto el artículo 270 del Código Orgánico Integral Penal, dispone:</w:t>
      </w:r>
    </w:p>
    <w:p w:rsidR="006A4D59" w:rsidRPr="0067008A" w:rsidRDefault="00921711" w:rsidP="00677E33">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Art. 270.- Perjurio y falso testimonio.- La persona que, al declarar, confesar, informar o traducir ante o a autoridad competente, falte a la verdad bajo juramento, cometa perjurio, será sancionada con pena privativa de libertad de tres a cinco años; cuando lo hace sin juramento, cometa falso testimonio, será sancionada con pena privativa de libertad de uno a tres años.</w:t>
      </w:r>
    </w:p>
    <w:p w:rsidR="006A4D59" w:rsidRPr="0067008A" w:rsidRDefault="00921711" w:rsidP="00677E33">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De igual modo, se comete perjurio cuando a sabiendas se ha faltado a la verdad en declaraciones patrimoniales juramentadas o juradas hechas ante Notario Público</w:t>
      </w:r>
    </w:p>
    <w:p w:rsidR="006A4D59" w:rsidRPr="0067008A" w:rsidRDefault="00921711" w:rsidP="00677E33">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Si el perjurio se comete en causa penal, será sancionada con pena privativa de libertad de siete a diez años.</w:t>
      </w:r>
    </w:p>
    <w:p w:rsidR="006A4D59" w:rsidRPr="0067008A" w:rsidRDefault="00921711" w:rsidP="00677E33">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Si el falso testimonio se comete en causa penal, será sancionada con pena privativa de libertad de cinco a siete años.</w:t>
      </w:r>
    </w:p>
    <w:p w:rsidR="006A4D59" w:rsidRPr="0067008A" w:rsidRDefault="00921711" w:rsidP="00677E33">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Se exceptúan los casos de versiones y testimonio de la o el sospechoso o de la o el procesado, tanto en la fase preprocesal, como en el proceso penal.</w:t>
      </w:r>
    </w:p>
    <w:p w:rsidR="006A4D59" w:rsidRPr="0067008A" w:rsidRDefault="006A4D59" w:rsidP="00677E33">
      <w:pPr>
        <w:spacing w:after="240" w:line="360" w:lineRule="auto"/>
        <w:jc w:val="both"/>
        <w:rPr>
          <w:rFonts w:ascii="Times New Roman" w:hAnsi="Times New Roman" w:cs="Times New Roman"/>
          <w:color w:val="212121"/>
        </w:rPr>
      </w:pP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color w:val="212121"/>
        </w:rPr>
        <w:t xml:space="preserve">Los elementos del tipo penal previsto en el artículo 270, son los siguientes: </w:t>
      </w:r>
    </w:p>
    <w:p w:rsidR="006A4D59" w:rsidRPr="0067008A" w:rsidRDefault="00921711" w:rsidP="00677E33">
      <w:pPr>
        <w:spacing w:after="240" w:line="360" w:lineRule="auto"/>
        <w:jc w:val="both"/>
        <w:rPr>
          <w:rFonts w:ascii="Times New Roman" w:hAnsi="Times New Roman" w:cs="Times New Roman"/>
          <w:color w:val="212121"/>
        </w:rPr>
      </w:pPr>
      <w:r w:rsidRPr="0067008A">
        <w:rPr>
          <w:rFonts w:ascii="Times New Roman" w:hAnsi="Times New Roman" w:cs="Times New Roman"/>
          <w:color w:val="212121"/>
        </w:rPr>
        <w:t xml:space="preserve"> </w:t>
      </w:r>
    </w:p>
    <w:tbl>
      <w:tblPr>
        <w:tblW w:w="8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4441"/>
        <w:gridCol w:w="4439"/>
      </w:tblGrid>
      <w:tr w:rsidR="006A4D59" w:rsidRPr="0067008A">
        <w:trPr>
          <w:trHeight w:val="485"/>
        </w:trPr>
        <w:tc>
          <w:tcPr>
            <w:tcW w:w="4440" w:type="dxa"/>
            <w:tcBorders>
              <w:top w:val="single" w:sz="8" w:space="0" w:color="000000"/>
              <w:left w:val="single" w:sz="8" w:space="0" w:color="000000"/>
              <w:bottom w:val="single" w:sz="8" w:space="0" w:color="000000"/>
              <w:right w:val="single" w:sz="8" w:space="0" w:color="000000"/>
            </w:tcBorders>
            <w:shd w:val="clear" w:color="auto" w:fill="auto"/>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Sujeto activo</w:t>
            </w:r>
          </w:p>
        </w:tc>
        <w:tc>
          <w:tcPr>
            <w:tcW w:w="4439" w:type="dxa"/>
            <w:tcBorders>
              <w:top w:val="single" w:sz="8" w:space="0" w:color="000000"/>
              <w:left w:val="single" w:sz="6" w:space="0" w:color="000000"/>
              <w:bottom w:val="single" w:sz="8" w:space="0" w:color="000000"/>
              <w:right w:val="single" w:sz="8" w:space="0" w:color="000000"/>
            </w:tcBorders>
            <w:shd w:val="clear" w:color="auto" w:fill="auto"/>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Cualquier persona</w:t>
            </w:r>
          </w:p>
        </w:tc>
      </w:tr>
      <w:tr w:rsidR="006A4D59" w:rsidRPr="0067008A">
        <w:trPr>
          <w:trHeight w:val="485"/>
        </w:trPr>
        <w:tc>
          <w:tcPr>
            <w:tcW w:w="4440" w:type="dxa"/>
            <w:tcBorders>
              <w:top w:val="single" w:sz="6" w:space="0" w:color="000000"/>
              <w:left w:val="single" w:sz="8" w:space="0" w:color="000000"/>
              <w:bottom w:val="single" w:sz="8" w:space="0" w:color="000000"/>
              <w:right w:val="single" w:sz="8" w:space="0" w:color="000000"/>
            </w:tcBorders>
            <w:shd w:val="clear" w:color="auto" w:fill="auto"/>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Sujeto pasivo</w:t>
            </w:r>
          </w:p>
        </w:tc>
        <w:tc>
          <w:tcPr>
            <w:tcW w:w="4439" w:type="dxa"/>
            <w:tcBorders>
              <w:top w:val="single" w:sz="6" w:space="0" w:color="000000"/>
              <w:left w:val="single" w:sz="6" w:space="0" w:color="000000"/>
              <w:bottom w:val="single" w:sz="8" w:space="0" w:color="000000"/>
              <w:right w:val="single" w:sz="8" w:space="0" w:color="000000"/>
            </w:tcBorders>
            <w:shd w:val="clear" w:color="auto" w:fill="auto"/>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Estado – Administración de justicia</w:t>
            </w:r>
          </w:p>
        </w:tc>
      </w:tr>
      <w:tr w:rsidR="006A4D59" w:rsidRPr="0067008A">
        <w:trPr>
          <w:trHeight w:val="1025"/>
        </w:trPr>
        <w:tc>
          <w:tcPr>
            <w:tcW w:w="4440" w:type="dxa"/>
            <w:tcBorders>
              <w:top w:val="single" w:sz="6" w:space="0" w:color="000000"/>
              <w:left w:val="single" w:sz="8" w:space="0" w:color="000000"/>
              <w:bottom w:val="single" w:sz="8" w:space="0" w:color="000000"/>
              <w:right w:val="single" w:sz="8" w:space="0" w:color="000000"/>
            </w:tcBorders>
            <w:shd w:val="clear" w:color="auto" w:fill="auto"/>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Verbo rector </w:t>
            </w:r>
          </w:p>
        </w:tc>
        <w:tc>
          <w:tcPr>
            <w:tcW w:w="4439" w:type="dxa"/>
            <w:tcBorders>
              <w:top w:val="single" w:sz="6" w:space="0" w:color="000000"/>
              <w:left w:val="single" w:sz="6" w:space="0" w:color="000000"/>
              <w:bottom w:val="single" w:sz="8" w:space="0" w:color="000000"/>
              <w:right w:val="single" w:sz="8" w:space="0" w:color="000000"/>
            </w:tcBorders>
            <w:shd w:val="clear" w:color="auto" w:fill="auto"/>
          </w:tcPr>
          <w:p w:rsidR="006A4D59" w:rsidRPr="0067008A" w:rsidRDefault="00921711" w:rsidP="00677E33">
            <w:pPr>
              <w:spacing w:after="240" w:line="360" w:lineRule="auto"/>
              <w:jc w:val="both"/>
              <w:rPr>
                <w:rFonts w:ascii="Times New Roman" w:hAnsi="Times New Roman" w:cs="Times New Roman"/>
                <w:highlight w:val="cyan"/>
              </w:rPr>
            </w:pPr>
            <w:r w:rsidRPr="0067008A">
              <w:rPr>
                <w:rFonts w:ascii="Times New Roman" w:hAnsi="Times New Roman" w:cs="Times New Roman"/>
              </w:rPr>
              <w:t>Faltar a la verdad bajo juramento al declarar, confesar, informar o traducir ante o a autoridad competente</w:t>
            </w:r>
          </w:p>
        </w:tc>
      </w:tr>
      <w:tr w:rsidR="006A4D59" w:rsidRPr="0067008A">
        <w:trPr>
          <w:trHeight w:val="485"/>
        </w:trPr>
        <w:tc>
          <w:tcPr>
            <w:tcW w:w="4440" w:type="dxa"/>
            <w:tcBorders>
              <w:top w:val="single" w:sz="6" w:space="0" w:color="000000"/>
              <w:left w:val="single" w:sz="8" w:space="0" w:color="000000"/>
              <w:bottom w:val="single" w:sz="8" w:space="0" w:color="000000"/>
              <w:right w:val="single" w:sz="8" w:space="0" w:color="000000"/>
            </w:tcBorders>
            <w:shd w:val="clear" w:color="auto" w:fill="auto"/>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Bien jurídico protegido</w:t>
            </w:r>
          </w:p>
        </w:tc>
        <w:tc>
          <w:tcPr>
            <w:tcW w:w="4439" w:type="dxa"/>
            <w:tcBorders>
              <w:top w:val="single" w:sz="6" w:space="0" w:color="000000"/>
              <w:left w:val="single" w:sz="6" w:space="0" w:color="000000"/>
              <w:bottom w:val="single" w:sz="8" w:space="0" w:color="000000"/>
              <w:right w:val="single" w:sz="8" w:space="0" w:color="000000"/>
            </w:tcBorders>
            <w:shd w:val="clear" w:color="auto" w:fill="auto"/>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Tutela judicial efectiva</w:t>
            </w:r>
          </w:p>
        </w:tc>
      </w:tr>
    </w:tbl>
    <w:p w:rsidR="002E7BE5" w:rsidRPr="0067008A" w:rsidRDefault="002E7BE5" w:rsidP="00677E33">
      <w:pPr>
        <w:spacing w:after="240" w:line="360" w:lineRule="auto"/>
        <w:jc w:val="both"/>
        <w:rPr>
          <w:rFonts w:ascii="Times New Roman" w:hAnsi="Times New Roman" w:cs="Times New Roman"/>
          <w:color w:val="212121"/>
        </w:rPr>
      </w:pPr>
    </w:p>
    <w:p w:rsidR="006A4D59" w:rsidRPr="0067008A" w:rsidRDefault="00921711" w:rsidP="00677E33">
      <w:pPr>
        <w:spacing w:after="240" w:line="360" w:lineRule="auto"/>
        <w:jc w:val="both"/>
        <w:rPr>
          <w:rFonts w:ascii="Times New Roman" w:hAnsi="Times New Roman" w:cs="Times New Roman"/>
          <w:color w:val="212121"/>
        </w:rPr>
      </w:pPr>
      <w:r w:rsidRPr="0067008A">
        <w:rPr>
          <w:rFonts w:ascii="Times New Roman" w:hAnsi="Times New Roman" w:cs="Times New Roman"/>
          <w:color w:val="212121"/>
        </w:rPr>
        <w:t>Como quedó dicho anteriormente, causa mucha inquietud a esta comisión que existan varias contradicciones por parte del Presidente de la República en sus manifestaciones públicas respecto de su patrimonio en contraste con su declaración patrimonial jurada ante al Contraloría General del Estado en donde se ha presentado como patrimonio una valoración de 39 millones de dólares pese a haberse atribuido el pago de impuestos por parte de empresas que no reconoce dentro de su patrimonio.</w:t>
      </w:r>
    </w:p>
    <w:p w:rsidR="006A4D59" w:rsidRPr="0067008A" w:rsidRDefault="00921711" w:rsidP="00677E33">
      <w:pPr>
        <w:spacing w:after="240" w:line="360" w:lineRule="auto"/>
        <w:jc w:val="both"/>
        <w:rPr>
          <w:rFonts w:ascii="Times New Roman" w:hAnsi="Times New Roman" w:cs="Times New Roman"/>
          <w:color w:val="212121"/>
        </w:rPr>
      </w:pPr>
      <w:r w:rsidRPr="0067008A">
        <w:rPr>
          <w:rFonts w:ascii="Times New Roman" w:hAnsi="Times New Roman" w:cs="Times New Roman"/>
          <w:color w:val="212121"/>
        </w:rPr>
        <w:t>Así mismo, como quedó dicho anteriormente preocupa así mismo que tal como se desprende de la investigación realizada por el Consorcio Internacional de Periodistas y la investigación de la periodista Cinthya García en página existirían empresas y bienes de los cuales el señor Presidente de la República tendría la propiedad indirecta y que por tanto debería constar en su declaración.</w:t>
      </w:r>
    </w:p>
    <w:p w:rsidR="006A4D59" w:rsidRPr="0067008A" w:rsidRDefault="00921711" w:rsidP="00677E33">
      <w:pPr>
        <w:spacing w:after="240" w:line="360" w:lineRule="auto"/>
        <w:jc w:val="both"/>
        <w:rPr>
          <w:rFonts w:ascii="Times New Roman" w:hAnsi="Times New Roman" w:cs="Times New Roman"/>
          <w:color w:val="212121"/>
        </w:rPr>
      </w:pPr>
      <w:r w:rsidRPr="0067008A">
        <w:rPr>
          <w:rFonts w:ascii="Times New Roman" w:hAnsi="Times New Roman" w:cs="Times New Roman"/>
          <w:color w:val="212121"/>
        </w:rPr>
        <w:t xml:space="preserve">En tal virtud, es menester que estos hechos sean investigados por parte de la titular de la acción penal para que se determine si el señor Guillermo Lasso Mendoza en sus declaraciones juramentadas ante la Contraloría General del Estado y ante el notario con el cual celebró escritura pública de declaración juramentada sobre el cumplimiento de la Ley Orgánica para aplicar la Consulta Popular efectuada el 19 de febrero de 2019 faltó dolosamente a la verdad y declaró falsamente un hecho que no es cierto con la finalidad de engañar a la autoridad competente y así poder acceder al cargo de Presidente de la República, poder ser candidato a dicha dignidad y además impedir que la administración tributaria conozca la verdad sobre su patrimonio. </w:t>
      </w:r>
    </w:p>
    <w:p w:rsidR="006A4D59" w:rsidRPr="0067008A" w:rsidRDefault="00921711" w:rsidP="00677E33">
      <w:pPr>
        <w:spacing w:after="240" w:line="360" w:lineRule="auto"/>
        <w:jc w:val="both"/>
        <w:rPr>
          <w:rFonts w:ascii="Times New Roman" w:hAnsi="Times New Roman" w:cs="Times New Roman"/>
          <w:color w:val="212121"/>
        </w:rPr>
      </w:pPr>
      <w:r w:rsidRPr="0067008A">
        <w:rPr>
          <w:rFonts w:ascii="Times New Roman" w:hAnsi="Times New Roman" w:cs="Times New Roman"/>
          <w:i/>
          <w:color w:val="212121"/>
          <w:u w:val="single"/>
        </w:rPr>
        <w:t>Necesidad de investigar un posible Peculado Bancario</w:t>
      </w:r>
    </w:p>
    <w:p w:rsidR="006A4D59" w:rsidRPr="0067008A" w:rsidRDefault="00921711" w:rsidP="00677E33">
      <w:pPr>
        <w:spacing w:after="240" w:line="360" w:lineRule="auto"/>
        <w:jc w:val="both"/>
        <w:rPr>
          <w:rFonts w:ascii="Times New Roman" w:hAnsi="Times New Roman" w:cs="Times New Roman"/>
          <w:color w:val="212121"/>
        </w:rPr>
      </w:pPr>
      <w:r w:rsidRPr="0067008A">
        <w:rPr>
          <w:rFonts w:ascii="Times New Roman" w:hAnsi="Times New Roman" w:cs="Times New Roman"/>
          <w:color w:val="212121"/>
        </w:rPr>
        <w:t>El delito de peculado bancario es una infracción penal que se incorporó en la legislación penal ecuatoriana a raíz de la crisis financiera del año 1999 y cuya finalidad es la de sancionar el abuso de fondos de los cuentahabientes con la intención de obtener un beneficio indebido propio o a favor de terceros, por parte de los administradores de las instituciones financieras nacionales públicas y privadas a través de las cuales se realiza intermediación financiera.</w:t>
      </w:r>
    </w:p>
    <w:p w:rsidR="006A4D59" w:rsidRPr="0067008A" w:rsidRDefault="00921711" w:rsidP="00677E33">
      <w:pPr>
        <w:spacing w:after="240" w:line="360" w:lineRule="auto"/>
        <w:jc w:val="both"/>
        <w:rPr>
          <w:rFonts w:ascii="Times New Roman" w:hAnsi="Times New Roman" w:cs="Times New Roman"/>
          <w:color w:val="212121"/>
        </w:rPr>
      </w:pPr>
      <w:r w:rsidRPr="0067008A">
        <w:rPr>
          <w:rFonts w:ascii="Times New Roman" w:hAnsi="Times New Roman" w:cs="Times New Roman"/>
          <w:color w:val="212121"/>
        </w:rPr>
        <w:t>La diferencia principal con el peculado propio es que en el peculado bancario el sujeto activo no recibe una calificación especial por el motivo de ser un funcionario público sino que es calificado por ser empleado, servidor o directivo de una institución financiera privada.</w:t>
      </w:r>
    </w:p>
    <w:p w:rsidR="006A4D59" w:rsidRPr="0067008A" w:rsidRDefault="00921711" w:rsidP="00677E33">
      <w:pPr>
        <w:spacing w:after="240" w:line="360" w:lineRule="auto"/>
        <w:jc w:val="both"/>
        <w:rPr>
          <w:rFonts w:ascii="Times New Roman" w:hAnsi="Times New Roman" w:cs="Times New Roman"/>
          <w:color w:val="212121"/>
        </w:rPr>
      </w:pPr>
      <w:r w:rsidRPr="0067008A">
        <w:rPr>
          <w:rFonts w:ascii="Times New Roman" w:hAnsi="Times New Roman" w:cs="Times New Roman"/>
          <w:color w:val="212121"/>
        </w:rPr>
        <w:t>En este sentido, en su momento el legislador consideró que existen varios mecanismos a través de los cuales se puede incurrir en peculado bancario, siendo uno de ellos el realizar operaciones entre partes vinculadas, relacionados o intercompañías. Esto quiere decir básicamente que se considera como infracción penal el auto concederse recursos para beneficio propio o de terceros.</w:t>
      </w:r>
    </w:p>
    <w:p w:rsidR="006A4D59" w:rsidRPr="0067008A" w:rsidRDefault="00921711" w:rsidP="00677E33">
      <w:pPr>
        <w:spacing w:after="240" w:line="360" w:lineRule="auto"/>
        <w:jc w:val="both"/>
        <w:rPr>
          <w:rFonts w:ascii="Times New Roman" w:hAnsi="Times New Roman" w:cs="Times New Roman"/>
          <w:color w:val="212121"/>
        </w:rPr>
      </w:pPr>
      <w:r w:rsidRPr="0067008A">
        <w:rPr>
          <w:rFonts w:ascii="Times New Roman" w:hAnsi="Times New Roman" w:cs="Times New Roman"/>
          <w:color w:val="212121"/>
        </w:rPr>
        <w:t>Al respecto el Código Orgánico Integral Penal en su artículo 278 señala lo siguiente:</w:t>
      </w:r>
    </w:p>
    <w:p w:rsidR="006A4D59" w:rsidRPr="0067008A" w:rsidRDefault="00921711" w:rsidP="002E7BE5">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Art. 278.- Peculado.- Las o los servidores públicos; las personas que actúen en virtud de una potestad estatal en alguna de las instituciones del Estado; o, los proveedores del Estado que, en beneficio propio o de terceros, abusen, se apropien, distraigan o dispongan arbitrariamente de bienes muebles o inmuebles, dineros públicos, efectos que los representen, piezas, títulos o documentos que estén en su poder en virtud o razón de su cargo, serán sancionados con pena privativa de libertad de diez a trece años.</w:t>
      </w:r>
    </w:p>
    <w:p w:rsidR="006A4D59" w:rsidRPr="0067008A" w:rsidRDefault="00921711" w:rsidP="002E7BE5">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Serán sancionados con la misma pena como responsables de peculado las o los funcionarios, administradores, ejecutivos o empleados de las instituciones del Sistema Financiero Nacional que realicen actividades de intermediación financiera, así como los miembros o vocales de los directorios y de los consejos de administración y vigilancia de estas entidades; que, en beneficio propio o de terceros, abusen, se apropien, distraigan o dispongan arbitrariamente de bienes muebles o inmuebles, dineros privados, efectos que los representen, piezas, títulos o documentos que estén en su poder en virtud o razón de su cargo.</w:t>
      </w:r>
    </w:p>
    <w:p w:rsidR="006A4D59" w:rsidRPr="0067008A" w:rsidRDefault="00921711" w:rsidP="002E7BE5">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Serán sancionados con las siguientes penas, cuando:</w:t>
      </w:r>
    </w:p>
    <w:p w:rsidR="006A4D59" w:rsidRPr="0067008A" w:rsidRDefault="00921711" w:rsidP="00677E33">
      <w:pPr>
        <w:spacing w:after="240" w:line="360" w:lineRule="auto"/>
        <w:ind w:left="1000" w:right="280" w:hanging="360"/>
        <w:jc w:val="both"/>
        <w:rPr>
          <w:rFonts w:ascii="Times New Roman" w:hAnsi="Times New Roman" w:cs="Times New Roman"/>
          <w:i/>
          <w:color w:val="212121"/>
        </w:rPr>
      </w:pPr>
      <w:r w:rsidRPr="0067008A">
        <w:rPr>
          <w:rFonts w:ascii="Times New Roman" w:hAnsi="Times New Roman" w:cs="Times New Roman"/>
          <w:i/>
          <w:color w:val="212121"/>
        </w:rPr>
        <w:t>1.</w:t>
      </w:r>
      <w:r w:rsidRPr="0067008A">
        <w:rPr>
          <w:rFonts w:ascii="Times New Roman" w:hAnsi="Times New Roman" w:cs="Times New Roman"/>
          <w:i/>
          <w:color w:val="212121"/>
        </w:rPr>
        <w:tab/>
        <w:t>Con pena privativa de libertad de cinco a siete años:</w:t>
      </w:r>
    </w:p>
    <w:p w:rsidR="006A4D59" w:rsidRPr="0067008A" w:rsidRDefault="00921711" w:rsidP="00677E33">
      <w:pPr>
        <w:spacing w:after="240" w:line="360" w:lineRule="auto"/>
        <w:ind w:left="640" w:right="280"/>
        <w:jc w:val="both"/>
        <w:rPr>
          <w:rFonts w:ascii="Times New Roman" w:hAnsi="Times New Roman" w:cs="Times New Roman"/>
          <w:i/>
          <w:color w:val="212121"/>
        </w:rPr>
      </w:pPr>
      <w:r w:rsidRPr="0067008A">
        <w:rPr>
          <w:rFonts w:ascii="Times New Roman" w:hAnsi="Times New Roman" w:cs="Times New Roman"/>
          <w:i/>
          <w:color w:val="212121"/>
        </w:rPr>
        <w:t xml:space="preserve"> </w:t>
      </w:r>
    </w:p>
    <w:p w:rsidR="006A4D59" w:rsidRPr="0067008A" w:rsidRDefault="00921711" w:rsidP="00677E33">
      <w:pPr>
        <w:spacing w:after="240" w:line="360" w:lineRule="auto"/>
        <w:ind w:left="1000" w:right="280" w:hanging="360"/>
        <w:jc w:val="both"/>
        <w:rPr>
          <w:rFonts w:ascii="Times New Roman" w:hAnsi="Times New Roman" w:cs="Times New Roman"/>
          <w:i/>
          <w:color w:val="212121"/>
        </w:rPr>
      </w:pPr>
      <w:r w:rsidRPr="0067008A">
        <w:rPr>
          <w:rFonts w:ascii="Times New Roman" w:hAnsi="Times New Roman" w:cs="Times New Roman"/>
          <w:i/>
          <w:color w:val="212121"/>
        </w:rPr>
        <w:t>a.</w:t>
      </w:r>
      <w:r w:rsidRPr="0067008A">
        <w:rPr>
          <w:rFonts w:ascii="Times New Roman" w:hAnsi="Times New Roman" w:cs="Times New Roman"/>
          <w:i/>
          <w:color w:val="212121"/>
        </w:rPr>
        <w:tab/>
        <w:t>Si utilizan, en beneficio propio o de terceras personas, trabajadores remunerados por el Estado o por las entidades del sector público o bienes del sector público, cuando esto signifique lucro o incremento patrimonial.</w:t>
      </w:r>
    </w:p>
    <w:p w:rsidR="006A4D59" w:rsidRPr="0067008A" w:rsidRDefault="00921711" w:rsidP="002E7BE5">
      <w:pPr>
        <w:spacing w:after="240" w:line="360" w:lineRule="auto"/>
        <w:ind w:left="1000" w:right="280" w:hanging="360"/>
        <w:jc w:val="both"/>
        <w:rPr>
          <w:rFonts w:ascii="Times New Roman" w:hAnsi="Times New Roman" w:cs="Times New Roman"/>
          <w:i/>
          <w:color w:val="212121"/>
        </w:rPr>
      </w:pPr>
      <w:r w:rsidRPr="0067008A">
        <w:rPr>
          <w:rFonts w:ascii="Times New Roman" w:hAnsi="Times New Roman" w:cs="Times New Roman"/>
          <w:i/>
          <w:color w:val="212121"/>
        </w:rPr>
        <w:t>b.</w:t>
      </w:r>
      <w:r w:rsidRPr="0067008A">
        <w:rPr>
          <w:rFonts w:ascii="Times New Roman" w:hAnsi="Times New Roman" w:cs="Times New Roman"/>
          <w:i/>
          <w:color w:val="212121"/>
        </w:rPr>
        <w:tab/>
        <w:t>Si se aprovechan económicamente, en beneficio propio o de terceras personas, de estudios, proyectos, informes, resoluciones y más documentos, calificados de secretos, reservados o de circulación restringida, que estén o hayan estado en su conocimiento o bajo su dependencia en razón o con ocasión del cargo que ejercen o han ejercido.</w:t>
      </w:r>
    </w:p>
    <w:p w:rsidR="006A4D59" w:rsidRPr="0067008A" w:rsidRDefault="00921711" w:rsidP="002E7BE5">
      <w:pPr>
        <w:spacing w:after="240" w:line="360" w:lineRule="auto"/>
        <w:ind w:left="1000" w:right="280" w:hanging="360"/>
        <w:jc w:val="both"/>
        <w:rPr>
          <w:rFonts w:ascii="Times New Roman" w:hAnsi="Times New Roman" w:cs="Times New Roman"/>
          <w:i/>
          <w:color w:val="212121"/>
        </w:rPr>
      </w:pPr>
      <w:r w:rsidRPr="0067008A">
        <w:rPr>
          <w:rFonts w:ascii="Times New Roman" w:hAnsi="Times New Roman" w:cs="Times New Roman"/>
          <w:i/>
          <w:color w:val="212121"/>
        </w:rPr>
        <w:t>2.</w:t>
      </w:r>
      <w:r w:rsidRPr="0067008A">
        <w:rPr>
          <w:rFonts w:ascii="Times New Roman" w:hAnsi="Times New Roman" w:cs="Times New Roman"/>
          <w:i/>
          <w:color w:val="212121"/>
        </w:rPr>
        <w:tab/>
        <w:t>Con pena privativa de libertad de siete a diez años:</w:t>
      </w:r>
    </w:p>
    <w:p w:rsidR="006A4D59" w:rsidRPr="0067008A" w:rsidRDefault="00921711" w:rsidP="002E7BE5">
      <w:pPr>
        <w:spacing w:after="240" w:line="360" w:lineRule="auto"/>
        <w:ind w:left="640" w:right="280"/>
        <w:jc w:val="both"/>
        <w:rPr>
          <w:rFonts w:ascii="Times New Roman" w:hAnsi="Times New Roman" w:cs="Times New Roman"/>
          <w:i/>
          <w:color w:val="212121"/>
        </w:rPr>
      </w:pPr>
      <w:r w:rsidRPr="0067008A">
        <w:rPr>
          <w:rFonts w:ascii="Times New Roman" w:hAnsi="Times New Roman" w:cs="Times New Roman"/>
          <w:i/>
          <w:color w:val="212121"/>
        </w:rPr>
        <w:t>a. Si obtienen o conceden créditos vinculados, relacionados o intercompañías, violando expresas disposiciones legales respecto de esta clase de operaciones, en perjuicio de la Institución Financiera.</w:t>
      </w:r>
    </w:p>
    <w:p w:rsidR="006A4D59" w:rsidRPr="0067008A" w:rsidRDefault="00921711" w:rsidP="002E7BE5">
      <w:pPr>
        <w:spacing w:after="240" w:line="360" w:lineRule="auto"/>
        <w:ind w:left="1000" w:right="280" w:hanging="360"/>
        <w:jc w:val="both"/>
        <w:rPr>
          <w:rFonts w:ascii="Times New Roman" w:hAnsi="Times New Roman" w:cs="Times New Roman"/>
          <w:i/>
          <w:color w:val="212121"/>
        </w:rPr>
      </w:pPr>
      <w:r w:rsidRPr="0067008A">
        <w:rPr>
          <w:rFonts w:ascii="Times New Roman" w:hAnsi="Times New Roman" w:cs="Times New Roman"/>
          <w:i/>
          <w:color w:val="212121"/>
        </w:rPr>
        <w:t xml:space="preserve">c. </w:t>
      </w:r>
      <w:r w:rsidRPr="0067008A">
        <w:rPr>
          <w:rFonts w:ascii="Times New Roman" w:hAnsi="Times New Roman" w:cs="Times New Roman"/>
          <w:i/>
          <w:color w:val="212121"/>
        </w:rPr>
        <w:tab/>
        <w:t>A los beneficiarios que intervengan en el cometimiento de este ilícito y a la persona que preste su nombre para beneficio propio o de un tercero, aunque no posea las calidades previstas en el primer párrafo.</w:t>
      </w:r>
    </w:p>
    <w:p w:rsidR="006A4D59" w:rsidRPr="0067008A" w:rsidRDefault="00921711" w:rsidP="002E7BE5">
      <w:pPr>
        <w:spacing w:after="240" w:line="360" w:lineRule="auto"/>
        <w:ind w:left="1000" w:right="280" w:hanging="360"/>
        <w:jc w:val="both"/>
        <w:rPr>
          <w:rFonts w:ascii="Times New Roman" w:hAnsi="Times New Roman" w:cs="Times New Roman"/>
          <w:i/>
          <w:color w:val="212121"/>
        </w:rPr>
      </w:pPr>
      <w:r w:rsidRPr="0067008A">
        <w:rPr>
          <w:rFonts w:ascii="Times New Roman" w:hAnsi="Times New Roman" w:cs="Times New Roman"/>
          <w:i/>
          <w:color w:val="212121"/>
        </w:rPr>
        <w:t>3.</w:t>
      </w:r>
      <w:r w:rsidRPr="0067008A">
        <w:rPr>
          <w:rFonts w:ascii="Times New Roman" w:hAnsi="Times New Roman" w:cs="Times New Roman"/>
          <w:i/>
          <w:color w:val="212121"/>
        </w:rPr>
        <w:tab/>
        <w:t>Con pena privativa de libertad de diez a trece años:</w:t>
      </w:r>
    </w:p>
    <w:p w:rsidR="006A4D59" w:rsidRPr="0067008A" w:rsidRDefault="00921711" w:rsidP="00677E33">
      <w:pPr>
        <w:spacing w:after="240" w:line="360" w:lineRule="auto"/>
        <w:ind w:left="1000" w:right="280" w:hanging="360"/>
        <w:jc w:val="both"/>
        <w:rPr>
          <w:rFonts w:ascii="Times New Roman" w:hAnsi="Times New Roman" w:cs="Times New Roman"/>
          <w:i/>
          <w:color w:val="212121"/>
        </w:rPr>
      </w:pPr>
      <w:r w:rsidRPr="0067008A">
        <w:rPr>
          <w:rFonts w:ascii="Times New Roman" w:hAnsi="Times New Roman" w:cs="Times New Roman"/>
          <w:i/>
          <w:color w:val="212121"/>
        </w:rPr>
        <w:t>a.</w:t>
      </w:r>
      <w:r w:rsidRPr="0067008A">
        <w:rPr>
          <w:rFonts w:ascii="Times New Roman" w:hAnsi="Times New Roman" w:cs="Times New Roman"/>
          <w:i/>
          <w:color w:val="212121"/>
        </w:rPr>
        <w:tab/>
        <w:t>Si arbitrariamente disponen, se apropian o distraen los fondos, bienes, dineros o efectos privados que los representen.</w:t>
      </w:r>
    </w:p>
    <w:p w:rsidR="006A4D59" w:rsidRPr="0067008A" w:rsidRDefault="00921711" w:rsidP="00677E33">
      <w:pPr>
        <w:spacing w:after="240" w:line="360" w:lineRule="auto"/>
        <w:ind w:left="1000" w:right="280" w:hanging="360"/>
        <w:jc w:val="both"/>
        <w:rPr>
          <w:rFonts w:ascii="Times New Roman" w:hAnsi="Times New Roman" w:cs="Times New Roman"/>
          <w:i/>
          <w:color w:val="212121"/>
        </w:rPr>
      </w:pPr>
      <w:r w:rsidRPr="0067008A">
        <w:rPr>
          <w:rFonts w:ascii="Times New Roman" w:hAnsi="Times New Roman" w:cs="Times New Roman"/>
          <w:i/>
          <w:color w:val="212121"/>
        </w:rPr>
        <w:t>b.</w:t>
      </w:r>
      <w:r w:rsidRPr="0067008A">
        <w:rPr>
          <w:rFonts w:ascii="Times New Roman" w:hAnsi="Times New Roman" w:cs="Times New Roman"/>
          <w:i/>
          <w:color w:val="212121"/>
        </w:rPr>
        <w:tab/>
        <w:t>Si hubiesen ejecutado dolosamente operaciones que disminuyan el activo o incrementen el pasivo de la entidad.</w:t>
      </w:r>
    </w:p>
    <w:p w:rsidR="006A4D59" w:rsidRPr="0067008A" w:rsidRDefault="00921711" w:rsidP="00677E33">
      <w:pPr>
        <w:spacing w:after="240" w:line="360" w:lineRule="auto"/>
        <w:ind w:left="1000" w:right="280" w:hanging="360"/>
        <w:jc w:val="both"/>
        <w:rPr>
          <w:rFonts w:ascii="Times New Roman" w:hAnsi="Times New Roman" w:cs="Times New Roman"/>
          <w:i/>
          <w:color w:val="212121"/>
        </w:rPr>
      </w:pPr>
      <w:r w:rsidRPr="0067008A">
        <w:rPr>
          <w:rFonts w:ascii="Times New Roman" w:hAnsi="Times New Roman" w:cs="Times New Roman"/>
          <w:i/>
          <w:color w:val="212121"/>
        </w:rPr>
        <w:t xml:space="preserve">c. </w:t>
      </w:r>
      <w:r w:rsidRPr="0067008A">
        <w:rPr>
          <w:rFonts w:ascii="Times New Roman" w:hAnsi="Times New Roman" w:cs="Times New Roman"/>
          <w:i/>
          <w:color w:val="212121"/>
        </w:rPr>
        <w:tab/>
        <w:t xml:space="preserve"> Si disponen de cualquier manera el congelamiento o retención arbitraria o generalizada de los fondos o depósitos en las instituciones del Sistema Financiero Nacional, causando directamente un perjuicio económico a sus socios, depositarios, cuenta partícipes o titulares de los bienes, fondos o dinero.</w:t>
      </w:r>
    </w:p>
    <w:p w:rsidR="006A4D59" w:rsidRPr="0067008A" w:rsidRDefault="00921711" w:rsidP="00677E33">
      <w:pPr>
        <w:spacing w:after="240" w:line="360" w:lineRule="auto"/>
        <w:ind w:left="1000" w:right="280" w:hanging="360"/>
        <w:jc w:val="both"/>
        <w:rPr>
          <w:rFonts w:ascii="Times New Roman" w:hAnsi="Times New Roman" w:cs="Times New Roman"/>
          <w:i/>
          <w:color w:val="212121"/>
        </w:rPr>
      </w:pPr>
      <w:r w:rsidRPr="0067008A">
        <w:rPr>
          <w:rFonts w:ascii="Times New Roman" w:hAnsi="Times New Roman" w:cs="Times New Roman"/>
          <w:i/>
          <w:color w:val="212121"/>
        </w:rPr>
        <w:t>d.</w:t>
      </w:r>
      <w:r w:rsidRPr="0067008A">
        <w:rPr>
          <w:rFonts w:ascii="Times New Roman" w:hAnsi="Times New Roman" w:cs="Times New Roman"/>
          <w:i/>
          <w:color w:val="212121"/>
        </w:rPr>
        <w:tab/>
        <w:t xml:space="preserve"> Si causan la quiebra fraudulenta de entidades del Sistema Financiero Nacional.</w:t>
      </w:r>
    </w:p>
    <w:p w:rsidR="006A4D59" w:rsidRPr="0067008A" w:rsidRDefault="00921711" w:rsidP="002E7BE5">
      <w:pPr>
        <w:spacing w:after="240" w:line="360" w:lineRule="auto"/>
        <w:ind w:left="1000" w:right="280" w:hanging="360"/>
        <w:jc w:val="both"/>
        <w:rPr>
          <w:rFonts w:ascii="Times New Roman" w:hAnsi="Times New Roman" w:cs="Times New Roman"/>
          <w:i/>
          <w:color w:val="212121"/>
        </w:rPr>
      </w:pPr>
      <w:r w:rsidRPr="0067008A">
        <w:rPr>
          <w:rFonts w:ascii="Times New Roman" w:hAnsi="Times New Roman" w:cs="Times New Roman"/>
          <w:i/>
          <w:color w:val="212121"/>
        </w:rPr>
        <w:t>e.</w:t>
      </w:r>
      <w:r w:rsidRPr="0067008A">
        <w:rPr>
          <w:rFonts w:ascii="Times New Roman" w:hAnsi="Times New Roman" w:cs="Times New Roman"/>
          <w:i/>
          <w:color w:val="212121"/>
        </w:rPr>
        <w:tab/>
        <w:t>Si evaden los procedimientos pertinentes de contratación pública contenidos en la Ley de la materia. En este caso también se impondrá una multa correspondiente al valor de la contratación arbitraria que se desarrolló. Además, cuando se establezca la existencia y responsabilidad por el delito mediante sentencia condenatoria ejecutoriada, la o el juzgador declarará, como consecuencia accesoria del delito, la terminación unilateral y anticipada del contrato sobre el cual verse la infracción, sin derecho a indemnización ni pago de daño alguno a favor del proveedor.</w:t>
      </w:r>
    </w:p>
    <w:p w:rsidR="006A4D59" w:rsidRPr="0067008A" w:rsidRDefault="00921711" w:rsidP="00677E33">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Se aplicará el máximo de la pena prevista en los siguientes casos: cuando se realice aprovechándose de una declaratoria de emergencia o estado de excepción; cuando se realice con fondos o bienes destinados a programas de salud pública, alimentación, educación, vivienda o de la seguridad social; o, cuando estuvieren relacionados directamente con áreas naturales protegidas, recursos naturales, sectores estratégicos, o defensa nacional.</w:t>
      </w:r>
    </w:p>
    <w:p w:rsidR="006A4D59" w:rsidRPr="0067008A" w:rsidRDefault="00921711" w:rsidP="00677E33">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Las o los sentenciados por las conductas previstas en este artículo quedarán inhabilitadas o inhabilitados de por vida para el desempeño de todo cargo público, todo cargo en entidad financiera o en entidades de la economía popular y solidaria que realicen intermediación financiera.</w:t>
      </w:r>
    </w:p>
    <w:p w:rsidR="006A4D59" w:rsidRPr="0067008A" w:rsidRDefault="00921711" w:rsidP="00677E33">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Serán también responsables de peculado los administradores y los miembros del directorio de las empresas públicas, cuando por su acción u omisión los resultados empresariales y financieros anuales de dicha empresa pública estén por debajo de los índices de gestión fijados, especialmente cuando haya reducción de ingresos de más del 10% en comparación con el ejercicio económico anterior, sin justificación alguna de por medio y cuando haya reducción del resultado operacional, o pérdida económica en comparación con el ejercicio económico anterior, en más del 25% sin justificación alguna de por medio, ocasionando de tal forma la reducción, y por ende pérdida de recursos estatales, y cuando tales pérdidas se produjeron en beneficio propio o de terceros.</w:t>
      </w:r>
    </w:p>
    <w:p w:rsidR="006A4D59" w:rsidRPr="0067008A" w:rsidRDefault="00921711" w:rsidP="002E7BE5">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La acción penal tomará en cuenta la asistencia de expertos nacionales e internacionales para determinar la existencia de factores externos o macro de mercado inherentes a cada sector, que pudiesen haber incidido en reducciones drásticas de ingresos o de impacto financiero, así como para determinar si la asignación de presupuestos y metas empresariales ha sido adecuada, y si en caso de haber existido deficiencias se tomaron las medidas correctivas empresariales pertinentes.</w:t>
      </w:r>
    </w:p>
    <w:p w:rsidR="006A4D59" w:rsidRPr="0067008A" w:rsidRDefault="00921711" w:rsidP="00677E33">
      <w:pPr>
        <w:spacing w:after="240" w:line="360" w:lineRule="auto"/>
        <w:jc w:val="both"/>
        <w:rPr>
          <w:rFonts w:ascii="Times New Roman" w:hAnsi="Times New Roman" w:cs="Times New Roman"/>
          <w:color w:val="212121"/>
        </w:rPr>
      </w:pPr>
      <w:r w:rsidRPr="0067008A">
        <w:rPr>
          <w:rFonts w:ascii="Times New Roman" w:hAnsi="Times New Roman" w:cs="Times New Roman"/>
          <w:color w:val="212121"/>
        </w:rPr>
        <w:t xml:space="preserve">Los elementos del tipo penal de peculado bancario son los siguientes: </w:t>
      </w:r>
    </w:p>
    <w:tbl>
      <w:tblPr>
        <w:tblW w:w="8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4441"/>
        <w:gridCol w:w="4439"/>
      </w:tblGrid>
      <w:tr w:rsidR="006A4D59" w:rsidRPr="0067008A">
        <w:trPr>
          <w:trHeight w:val="2375"/>
        </w:trPr>
        <w:tc>
          <w:tcPr>
            <w:tcW w:w="4440" w:type="dxa"/>
            <w:tcBorders>
              <w:top w:val="single" w:sz="8" w:space="0" w:color="000000"/>
              <w:left w:val="single" w:sz="8" w:space="0" w:color="000000"/>
              <w:bottom w:val="single" w:sz="8" w:space="0" w:color="000000"/>
              <w:right w:val="single" w:sz="8" w:space="0" w:color="000000"/>
            </w:tcBorders>
            <w:shd w:val="clear" w:color="auto" w:fill="auto"/>
          </w:tcPr>
          <w:p w:rsidR="006A4D59" w:rsidRPr="0067008A" w:rsidRDefault="00921711" w:rsidP="00677E33">
            <w:pPr>
              <w:spacing w:after="240" w:line="360" w:lineRule="auto"/>
              <w:jc w:val="both"/>
              <w:rPr>
                <w:rFonts w:ascii="Times New Roman" w:hAnsi="Times New Roman" w:cs="Times New Roman"/>
                <w:highlight w:val="cyan"/>
              </w:rPr>
            </w:pPr>
            <w:r w:rsidRPr="0067008A">
              <w:rPr>
                <w:rFonts w:ascii="Times New Roman" w:hAnsi="Times New Roman" w:cs="Times New Roman"/>
              </w:rPr>
              <w:t>Sujeto activo</w:t>
            </w:r>
          </w:p>
        </w:tc>
        <w:tc>
          <w:tcPr>
            <w:tcW w:w="4439" w:type="dxa"/>
            <w:tcBorders>
              <w:top w:val="single" w:sz="8" w:space="0" w:color="000000"/>
              <w:left w:val="single" w:sz="6" w:space="0" w:color="000000"/>
              <w:bottom w:val="single" w:sz="8" w:space="0" w:color="000000"/>
              <w:right w:val="single" w:sz="8" w:space="0" w:color="000000"/>
            </w:tcBorders>
            <w:shd w:val="clear" w:color="auto" w:fill="auto"/>
          </w:tcPr>
          <w:p w:rsidR="006A4D59" w:rsidRPr="0067008A" w:rsidRDefault="00921711" w:rsidP="00677E33">
            <w:pPr>
              <w:spacing w:after="240" w:line="360" w:lineRule="auto"/>
              <w:jc w:val="both"/>
              <w:rPr>
                <w:rFonts w:ascii="Times New Roman" w:hAnsi="Times New Roman" w:cs="Times New Roman"/>
                <w:highlight w:val="cyan"/>
              </w:rPr>
            </w:pPr>
            <w:r w:rsidRPr="0067008A">
              <w:rPr>
                <w:rFonts w:ascii="Times New Roman" w:hAnsi="Times New Roman" w:cs="Times New Roman"/>
              </w:rPr>
              <w:t xml:space="preserve">Funcionarios, administradores, ejecutivos, empleados, miembros o vocales de los directorios y de los consejos de administración y vigilancia de las instituciones del Sistema Financiero Nacional que realicen actividades de intermediación financiera, </w:t>
            </w:r>
          </w:p>
        </w:tc>
      </w:tr>
      <w:tr w:rsidR="006A4D59" w:rsidRPr="0067008A">
        <w:trPr>
          <w:trHeight w:val="485"/>
        </w:trPr>
        <w:tc>
          <w:tcPr>
            <w:tcW w:w="4440" w:type="dxa"/>
            <w:tcBorders>
              <w:top w:val="single" w:sz="6" w:space="0" w:color="000000"/>
              <w:left w:val="single" w:sz="8" w:space="0" w:color="000000"/>
              <w:bottom w:val="single" w:sz="8" w:space="0" w:color="000000"/>
              <w:right w:val="single" w:sz="8" w:space="0" w:color="000000"/>
            </w:tcBorders>
            <w:shd w:val="clear" w:color="auto" w:fill="auto"/>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Sujeto pasivo</w:t>
            </w:r>
          </w:p>
        </w:tc>
        <w:tc>
          <w:tcPr>
            <w:tcW w:w="4439" w:type="dxa"/>
            <w:tcBorders>
              <w:top w:val="single" w:sz="6" w:space="0" w:color="000000"/>
              <w:left w:val="single" w:sz="6" w:space="0" w:color="000000"/>
              <w:bottom w:val="single" w:sz="8" w:space="0" w:color="000000"/>
              <w:right w:val="single" w:sz="8" w:space="0" w:color="000000"/>
            </w:tcBorders>
            <w:shd w:val="clear" w:color="auto" w:fill="auto"/>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Cuentahabientes </w:t>
            </w:r>
          </w:p>
        </w:tc>
      </w:tr>
      <w:tr w:rsidR="006A4D59" w:rsidRPr="0067008A">
        <w:trPr>
          <w:trHeight w:val="755"/>
        </w:trPr>
        <w:tc>
          <w:tcPr>
            <w:tcW w:w="4440" w:type="dxa"/>
            <w:tcBorders>
              <w:top w:val="single" w:sz="6" w:space="0" w:color="000000"/>
              <w:left w:val="single" w:sz="8" w:space="0" w:color="000000"/>
              <w:bottom w:val="single" w:sz="8" w:space="0" w:color="000000"/>
              <w:right w:val="single" w:sz="8" w:space="0" w:color="000000"/>
            </w:tcBorders>
            <w:shd w:val="clear" w:color="auto" w:fill="auto"/>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Verbo rector </w:t>
            </w:r>
          </w:p>
        </w:tc>
        <w:tc>
          <w:tcPr>
            <w:tcW w:w="4439" w:type="dxa"/>
            <w:tcBorders>
              <w:top w:val="single" w:sz="6" w:space="0" w:color="000000"/>
              <w:left w:val="single" w:sz="6" w:space="0" w:color="000000"/>
              <w:bottom w:val="single" w:sz="8" w:space="0" w:color="000000"/>
              <w:right w:val="single" w:sz="8" w:space="0" w:color="000000"/>
            </w:tcBorders>
            <w:shd w:val="clear" w:color="auto" w:fill="auto"/>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Abusar, apropiarse, distraer o disponer arbitrariamente</w:t>
            </w:r>
          </w:p>
        </w:tc>
      </w:tr>
      <w:tr w:rsidR="006A4D59" w:rsidRPr="0067008A">
        <w:trPr>
          <w:trHeight w:val="485"/>
        </w:trPr>
        <w:tc>
          <w:tcPr>
            <w:tcW w:w="4440" w:type="dxa"/>
            <w:tcBorders>
              <w:top w:val="single" w:sz="6" w:space="0" w:color="000000"/>
              <w:left w:val="single" w:sz="8" w:space="0" w:color="000000"/>
              <w:bottom w:val="single" w:sz="8" w:space="0" w:color="000000"/>
              <w:right w:val="single" w:sz="8" w:space="0" w:color="000000"/>
            </w:tcBorders>
            <w:shd w:val="clear" w:color="auto" w:fill="auto"/>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Bien jurídico protegido</w:t>
            </w:r>
          </w:p>
        </w:tc>
        <w:tc>
          <w:tcPr>
            <w:tcW w:w="4439" w:type="dxa"/>
            <w:tcBorders>
              <w:top w:val="single" w:sz="6" w:space="0" w:color="000000"/>
              <w:left w:val="single" w:sz="6" w:space="0" w:color="000000"/>
              <w:bottom w:val="single" w:sz="8" w:space="0" w:color="000000"/>
              <w:right w:val="single" w:sz="8" w:space="0" w:color="000000"/>
            </w:tcBorders>
            <w:shd w:val="clear" w:color="auto" w:fill="auto"/>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Confianza en el Sistema Financiero</w:t>
            </w:r>
          </w:p>
        </w:tc>
      </w:tr>
    </w:tbl>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 </w:t>
      </w:r>
    </w:p>
    <w:p w:rsidR="006A4D59" w:rsidRPr="0067008A" w:rsidRDefault="00921711" w:rsidP="00677E33">
      <w:pPr>
        <w:spacing w:after="240" w:line="360" w:lineRule="auto"/>
        <w:jc w:val="both"/>
        <w:rPr>
          <w:rFonts w:ascii="Times New Roman" w:hAnsi="Times New Roman" w:cs="Times New Roman"/>
          <w:color w:val="212121"/>
        </w:rPr>
      </w:pPr>
      <w:r w:rsidRPr="0067008A">
        <w:rPr>
          <w:rFonts w:ascii="Times New Roman" w:hAnsi="Times New Roman" w:cs="Times New Roman"/>
          <w:color w:val="212121"/>
        </w:rPr>
        <w:t>Es menester por lo tanto determinar si el señor Guillermo Lasso Mendoza o sus hijos en su calidad de directivos del Banco de Guayaquil de forma dolosa han realizado acciones tendientes a abusar, apropiarse, distraer o disponer arbitrariamente de bienes o dineros que en la realidad pertenecen a los cuentahabientes de la entidad financiera referida, con la finalidad de traicionar su confianza al sistema financiero nacional y de esa manera procurarse un beneficio ilegítimo.</w:t>
      </w:r>
    </w:p>
    <w:p w:rsidR="006A4D59" w:rsidRPr="0067008A" w:rsidRDefault="00921711" w:rsidP="00677E33">
      <w:pPr>
        <w:spacing w:after="240" w:line="360" w:lineRule="auto"/>
        <w:jc w:val="both"/>
        <w:rPr>
          <w:rFonts w:ascii="Times New Roman" w:hAnsi="Times New Roman" w:cs="Times New Roman"/>
          <w:color w:val="212121"/>
        </w:rPr>
      </w:pPr>
      <w:r w:rsidRPr="0067008A">
        <w:rPr>
          <w:rFonts w:ascii="Times New Roman" w:hAnsi="Times New Roman" w:cs="Times New Roman"/>
          <w:color w:val="212121"/>
        </w:rPr>
        <w:t>Sobre la base de lo anterior, preocupa a esta comisión lo manifestado por la periodista Cinthya García en su investigación publicada en el medio “Página 12” al manifestar que:</w:t>
      </w:r>
    </w:p>
    <w:p w:rsidR="006A4D59" w:rsidRPr="0067008A" w:rsidRDefault="00921711" w:rsidP="002E7BE5">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“En 2015, un informe de la calificadora internacional Deloitte, que hace auditoría de Banisi Holding S.A., reveló que gran parte de las acciones de Banisi Holding le pertenecen a Pietro Overseas y de ahí que Pietro Overseas es la principal novedad de este hecho porque es la empresa a la que supuestamente le vendió el banco de Guillermo Lasso en Panamá. Deloitte considera a Pietro Overseas sociedad controladora: en términos legales significa que tiene más del 51 por ciento de las acciones de Banisi Holding.</w:t>
      </w:r>
    </w:p>
    <w:p w:rsidR="006A4D59" w:rsidRPr="0067008A" w:rsidRDefault="00921711" w:rsidP="002E7BE5">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Llamativamente, Pietro Overseas tiene apenas un capital de 10.000 dólares mientras que Banisi tiene 300 millones en activos y Banisi Holding que es la figura intermedia tiene 30 millones de dólares en activos.</w:t>
      </w:r>
    </w:p>
    <w:p w:rsidR="006A4D59" w:rsidRPr="0067008A" w:rsidRDefault="00921711" w:rsidP="002E7BE5">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Fuentes financieras a las que tuvo acceso esta periodista aseguran que Pietro es Lasso y que en realidad el candidato a la presidencia se autovendió el banco de Panamá ocultándolo en esa empresa con nombre de fantasía italiano, que si se busca en internet solo salen los registros de una firma de abogados expertos en negocios offshore.</w:t>
      </w:r>
    </w:p>
    <w:p w:rsidR="006A4D59" w:rsidRPr="0067008A" w:rsidRDefault="00921711" w:rsidP="002E7BE5">
      <w:pPr>
        <w:spacing w:after="240" w:line="360" w:lineRule="auto"/>
        <w:ind w:left="280" w:right="280"/>
        <w:jc w:val="both"/>
        <w:rPr>
          <w:rFonts w:ascii="Times New Roman" w:hAnsi="Times New Roman" w:cs="Times New Roman"/>
          <w:color w:val="212121"/>
        </w:rPr>
      </w:pPr>
      <w:r w:rsidRPr="0067008A">
        <w:rPr>
          <w:rFonts w:ascii="Times New Roman" w:hAnsi="Times New Roman" w:cs="Times New Roman"/>
          <w:i/>
          <w:color w:val="212121"/>
        </w:rPr>
        <w:t>El presidente de Banisi Holding es Guilermo Lasso Mendoza, su esposa tesorera y su hijo el secretario. Esas designaciones las realiza el accionista mayoritario: Pietro Overseas.</w:t>
      </w:r>
    </w:p>
    <w:p w:rsidR="006A4D59" w:rsidRPr="0067008A" w:rsidRDefault="00921711" w:rsidP="00677E33">
      <w:pPr>
        <w:spacing w:after="240" w:line="360" w:lineRule="auto"/>
        <w:jc w:val="both"/>
        <w:rPr>
          <w:rFonts w:ascii="Times New Roman" w:hAnsi="Times New Roman" w:cs="Times New Roman"/>
          <w:color w:val="212121"/>
        </w:rPr>
      </w:pPr>
      <w:r w:rsidRPr="0067008A">
        <w:rPr>
          <w:rFonts w:ascii="Times New Roman" w:hAnsi="Times New Roman" w:cs="Times New Roman"/>
          <w:color w:val="212121"/>
        </w:rPr>
        <w:t>Lo manifestado por la periodista causa preocupación además porque conforme consta en la revelación publicada por el ICIJ sobre Pandora Papers se vincula directamente al Presidente de la República, entre otras, con la empresa Pietro Overseas, situación que no ha sido negada por el propio Presidente al manifestar en su oficio dirigido a esta comisión el 20 de octubre de 2021 que:</w:t>
      </w:r>
    </w:p>
    <w:p w:rsidR="006A4D59" w:rsidRPr="0067008A" w:rsidRDefault="00921711" w:rsidP="00677E33">
      <w:pPr>
        <w:spacing w:after="240" w:line="360" w:lineRule="auto"/>
        <w:ind w:left="280" w:right="280"/>
        <w:jc w:val="both"/>
        <w:rPr>
          <w:rFonts w:ascii="Times New Roman" w:hAnsi="Times New Roman" w:cs="Times New Roman"/>
          <w:color w:val="212121"/>
        </w:rPr>
      </w:pPr>
      <w:r w:rsidRPr="0067008A">
        <w:rPr>
          <w:rFonts w:ascii="Times New Roman" w:hAnsi="Times New Roman" w:cs="Times New Roman"/>
          <w:i/>
          <w:color w:val="212121"/>
        </w:rPr>
        <w:t>“Al respecto, debo reiterar lo que he dicho ya, esto es, que ni al inscribir mi candidatura presidencial, ni desde entonces hasta hoy, he estado incurso en la prohibición referida. De hecho, la propia nota periodística en el Diario El Universo expresamente reconoce que las entidades Bernini Foundation, Bretten Holdings, Da Vinci Foundation, Fundación Bienes Raices, Nora Group Investment Corp, Pietro Overseas S.A., Positano Trade LLC y Tintoretto International Foundation, recogidas también en el oficio recibido, fueron legalmente disueltas en el pasado. Y nadie ha contradicho esta realidad.”</w:t>
      </w:r>
    </w:p>
    <w:p w:rsidR="006A4D59" w:rsidRPr="0067008A" w:rsidRDefault="006A4D59" w:rsidP="00677E33">
      <w:pPr>
        <w:spacing w:after="240" w:line="360" w:lineRule="auto"/>
        <w:jc w:val="both"/>
        <w:rPr>
          <w:rFonts w:ascii="Times New Roman" w:hAnsi="Times New Roman" w:cs="Times New Roman"/>
          <w:color w:val="212121"/>
        </w:rPr>
      </w:pPr>
    </w:p>
    <w:p w:rsidR="006A4D59" w:rsidRPr="0067008A" w:rsidRDefault="00921711" w:rsidP="00677E33">
      <w:pPr>
        <w:spacing w:after="240" w:line="360" w:lineRule="auto"/>
        <w:jc w:val="both"/>
        <w:rPr>
          <w:rFonts w:ascii="Times New Roman" w:hAnsi="Times New Roman" w:cs="Times New Roman"/>
          <w:color w:val="212121"/>
        </w:rPr>
      </w:pPr>
      <w:r w:rsidRPr="0067008A">
        <w:rPr>
          <w:rFonts w:ascii="Times New Roman" w:hAnsi="Times New Roman" w:cs="Times New Roman"/>
          <w:color w:val="212121"/>
        </w:rPr>
        <w:t>En tal virtud, si se llegare a demostrar que lo que ha manifestado la periodista Cinthya García respecto de que el señor Guillermo Lasso Mendoza se habría autovendido el banco, será necesario entonces que Fiscalía realice las investigaciones del caso para determinar si dicha compra se lo hizo con fondos provenientes de la entidad financiera de la cual el ahora Presidente de la República era dueño.</w:t>
      </w:r>
    </w:p>
    <w:p w:rsidR="006A4D59" w:rsidRPr="0067008A" w:rsidRDefault="00921711" w:rsidP="00677E33">
      <w:pPr>
        <w:spacing w:after="240" w:line="360" w:lineRule="auto"/>
        <w:jc w:val="both"/>
        <w:rPr>
          <w:rFonts w:ascii="Times New Roman" w:hAnsi="Times New Roman" w:cs="Times New Roman"/>
          <w:color w:val="212121"/>
        </w:rPr>
      </w:pPr>
      <w:r w:rsidRPr="0067008A">
        <w:rPr>
          <w:rFonts w:ascii="Times New Roman" w:hAnsi="Times New Roman" w:cs="Times New Roman"/>
          <w:color w:val="212121"/>
        </w:rPr>
        <w:t>Por otra parte, tomando en cuenta además las investigaciones que se revelan en el portal latindadd.org en donde se argumenta que:</w:t>
      </w:r>
    </w:p>
    <w:p w:rsidR="006A4D59" w:rsidRPr="0067008A" w:rsidRDefault="00921711" w:rsidP="00677E33">
      <w:pPr>
        <w:spacing w:after="240" w:line="360" w:lineRule="auto"/>
        <w:ind w:left="280" w:right="280"/>
        <w:jc w:val="both"/>
        <w:rPr>
          <w:rFonts w:ascii="Times New Roman" w:hAnsi="Times New Roman" w:cs="Times New Roman"/>
        </w:rPr>
      </w:pPr>
      <w:r w:rsidRPr="0067008A">
        <w:rPr>
          <w:rFonts w:ascii="Times New Roman" w:hAnsi="Times New Roman" w:cs="Times New Roman"/>
          <w:i/>
          <w:color w:val="212121"/>
        </w:rPr>
        <w:t>..Antes, en 2008, cuando se desempeñaba como presidente ejecutivo del Banco de Guayaquil, amplió los negocios del banco ecuatoriano a Panamá mediante la creación del Banco Guayaquil Panamá. Así consta en el</w:t>
      </w:r>
      <w:hyperlink r:id="rId41">
        <w:r w:rsidRPr="0067008A">
          <w:rPr>
            <w:rStyle w:val="ListLabel189"/>
            <w:sz w:val="22"/>
            <w:szCs w:val="22"/>
            <w:highlight w:val="none"/>
          </w:rPr>
          <w:t xml:space="preserve"> sitio web del Banco de Guayaquil</w:t>
        </w:r>
      </w:hyperlink>
      <w:r w:rsidRPr="0067008A">
        <w:rPr>
          <w:rFonts w:ascii="Times New Roman" w:hAnsi="Times New Roman" w:cs="Times New Roman"/>
          <w:i/>
          <w:color w:val="212121"/>
        </w:rPr>
        <w:t>.</w:t>
      </w:r>
    </w:p>
    <w:p w:rsidR="006A4D59" w:rsidRPr="0067008A" w:rsidRDefault="001A2FF9" w:rsidP="00677E33">
      <w:pPr>
        <w:spacing w:after="240" w:line="360" w:lineRule="auto"/>
        <w:ind w:left="280" w:right="280"/>
        <w:jc w:val="both"/>
        <w:rPr>
          <w:rFonts w:ascii="Times New Roman" w:hAnsi="Times New Roman" w:cs="Times New Roman"/>
          <w:i/>
          <w:color w:val="212121"/>
          <w:highlight w:val="yellow"/>
        </w:rPr>
      </w:pPr>
      <w:r w:rsidRPr="00CC67C2">
        <w:rPr>
          <w:rFonts w:ascii="Times New Roman" w:hAnsi="Times New Roman" w:cs="Times New Roman"/>
          <w:noProof/>
        </w:rPr>
        <w:drawing>
          <wp:inline distT="0" distB="0" distL="0" distR="0">
            <wp:extent cx="5732145" cy="508635"/>
            <wp:effectExtent l="0" t="0" r="0" b="0"/>
            <wp:docPr id="21"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2145" cy="508635"/>
                    </a:xfrm>
                    <a:prstGeom prst="rect">
                      <a:avLst/>
                    </a:prstGeom>
                    <a:noFill/>
                    <a:ln>
                      <a:noFill/>
                    </a:ln>
                  </pic:spPr>
                </pic:pic>
              </a:graphicData>
            </a:graphic>
          </wp:inline>
        </w:drawing>
      </w:r>
    </w:p>
    <w:p w:rsidR="006A4D59" w:rsidRPr="0067008A" w:rsidRDefault="006A4D59" w:rsidP="00677E33">
      <w:pPr>
        <w:spacing w:after="240" w:line="360" w:lineRule="auto"/>
        <w:ind w:left="280" w:right="280"/>
        <w:jc w:val="both"/>
        <w:rPr>
          <w:rFonts w:ascii="Times New Roman" w:hAnsi="Times New Roman" w:cs="Times New Roman"/>
          <w:i/>
          <w:color w:val="212121"/>
          <w:highlight w:val="yellow"/>
        </w:rPr>
      </w:pPr>
    </w:p>
    <w:p w:rsidR="006A4D59" w:rsidRPr="0067008A" w:rsidRDefault="00921711" w:rsidP="00677E33">
      <w:pPr>
        <w:spacing w:after="240" w:line="360" w:lineRule="auto"/>
        <w:ind w:left="280" w:right="280"/>
        <w:jc w:val="both"/>
        <w:rPr>
          <w:rFonts w:ascii="Times New Roman" w:hAnsi="Times New Roman" w:cs="Times New Roman"/>
        </w:rPr>
      </w:pPr>
      <w:r w:rsidRPr="0067008A">
        <w:rPr>
          <w:rFonts w:ascii="Times New Roman" w:hAnsi="Times New Roman" w:cs="Times New Roman"/>
          <w:i/>
          <w:color w:val="212121"/>
        </w:rPr>
        <w:t>Antes de ello, ya había creado el Guayaquil Bank &amp; Trust, constituido en la Isla de Montserrat. Tal como indicaba su página web (</w:t>
      </w:r>
      <w:hyperlink r:id="rId43">
        <w:r w:rsidRPr="0067008A">
          <w:rPr>
            <w:rStyle w:val="ListLabel189"/>
            <w:sz w:val="22"/>
            <w:szCs w:val="22"/>
            <w:highlight w:val="none"/>
          </w:rPr>
          <w:t>archivada aquí</w:t>
        </w:r>
      </w:hyperlink>
      <w:r w:rsidRPr="0067008A">
        <w:rPr>
          <w:rFonts w:ascii="Times New Roman" w:hAnsi="Times New Roman" w:cs="Times New Roman"/>
          <w:i/>
          <w:color w:val="212121"/>
        </w:rPr>
        <w:t>), este banco también operaba con clientes ecuatorianos.</w:t>
      </w:r>
    </w:p>
    <w:p w:rsidR="006A4D59" w:rsidRPr="0067008A" w:rsidRDefault="006A4D59" w:rsidP="00677E33">
      <w:pPr>
        <w:spacing w:after="240" w:line="360" w:lineRule="auto"/>
        <w:ind w:left="280" w:right="280"/>
        <w:jc w:val="both"/>
        <w:rPr>
          <w:rFonts w:ascii="Times New Roman" w:hAnsi="Times New Roman" w:cs="Times New Roman"/>
          <w:i/>
          <w:color w:val="212121"/>
          <w:highlight w:val="yellow"/>
        </w:rPr>
      </w:pPr>
    </w:p>
    <w:p w:rsidR="006A4D59" w:rsidRPr="0067008A" w:rsidRDefault="001A2FF9" w:rsidP="00677E33">
      <w:pPr>
        <w:spacing w:after="240" w:line="360" w:lineRule="auto"/>
        <w:ind w:left="280" w:right="280"/>
        <w:jc w:val="both"/>
        <w:rPr>
          <w:rFonts w:ascii="Times New Roman" w:hAnsi="Times New Roman" w:cs="Times New Roman"/>
          <w:i/>
          <w:color w:val="212121"/>
          <w:highlight w:val="yellow"/>
        </w:rPr>
      </w:pPr>
      <w:r w:rsidRPr="00CC67C2">
        <w:rPr>
          <w:rFonts w:ascii="Times New Roman" w:hAnsi="Times New Roman" w:cs="Times New Roman"/>
          <w:noProof/>
        </w:rPr>
        <w:drawing>
          <wp:inline distT="0" distB="0" distL="0" distR="0">
            <wp:extent cx="5575300" cy="3777615"/>
            <wp:effectExtent l="0" t="0" r="0" b="0"/>
            <wp:docPr id="22"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75300" cy="3777615"/>
                    </a:xfrm>
                    <a:prstGeom prst="rect">
                      <a:avLst/>
                    </a:prstGeom>
                    <a:noFill/>
                    <a:ln>
                      <a:noFill/>
                    </a:ln>
                  </pic:spPr>
                </pic:pic>
              </a:graphicData>
            </a:graphic>
          </wp:inline>
        </w:drawing>
      </w:r>
    </w:p>
    <w:p w:rsidR="006A4D59" w:rsidRPr="0067008A" w:rsidRDefault="00921711" w:rsidP="00677E33">
      <w:pPr>
        <w:spacing w:after="240" w:line="360" w:lineRule="auto"/>
        <w:ind w:left="280" w:right="280"/>
        <w:jc w:val="both"/>
        <w:rPr>
          <w:rFonts w:ascii="Times New Roman" w:hAnsi="Times New Roman" w:cs="Times New Roman"/>
        </w:rPr>
      </w:pPr>
      <w:r w:rsidRPr="0067008A">
        <w:rPr>
          <w:rFonts w:ascii="Times New Roman" w:hAnsi="Times New Roman" w:cs="Times New Roman"/>
          <w:i/>
          <w:color w:val="212121"/>
        </w:rPr>
        <w:t xml:space="preserve">Es decir, el presidente ecuatoriano es una persona altamente calificada en la banca offshore. En la actualidad sus cinco hijos además de propietarios de buena parte del Banco Banisi de Panamá, dos de </w:t>
      </w:r>
      <w:r w:rsidRPr="00CC67C2">
        <w:rPr>
          <w:rFonts w:ascii="Times New Roman" w:hAnsi="Times New Roman" w:cs="Times New Roman"/>
          <w:i/>
          <w:color w:val="000000"/>
        </w:rPr>
        <w:t xml:space="preserve">ellos </w:t>
      </w:r>
      <w:hyperlink r:id="rId45">
        <w:r w:rsidRPr="00CC67C2">
          <w:rPr>
            <w:rStyle w:val="ListLabel189"/>
            <w:color w:val="000000"/>
            <w:sz w:val="22"/>
            <w:szCs w:val="22"/>
            <w:highlight w:val="none"/>
          </w:rPr>
          <w:t>son también parte de su directorio</w:t>
        </w:r>
      </w:hyperlink>
      <w:r w:rsidRPr="0067008A">
        <w:rPr>
          <w:rFonts w:ascii="Times New Roman" w:hAnsi="Times New Roman" w:cs="Times New Roman"/>
          <w:i/>
          <w:color w:val="212121"/>
        </w:rPr>
        <w:t>.</w:t>
      </w:r>
    </w:p>
    <w:p w:rsidR="006A4D59" w:rsidRPr="0067008A" w:rsidRDefault="006A4D59" w:rsidP="00677E33">
      <w:pPr>
        <w:spacing w:after="240" w:line="360" w:lineRule="auto"/>
        <w:ind w:left="280" w:right="280"/>
        <w:jc w:val="both"/>
        <w:rPr>
          <w:rFonts w:ascii="Times New Roman" w:hAnsi="Times New Roman" w:cs="Times New Roman"/>
          <w:i/>
          <w:color w:val="212121"/>
          <w:highlight w:val="yellow"/>
        </w:rPr>
      </w:pPr>
    </w:p>
    <w:p w:rsidR="006A4D59" w:rsidRPr="0067008A" w:rsidRDefault="001A2FF9" w:rsidP="00677E33">
      <w:pPr>
        <w:spacing w:after="240" w:line="360" w:lineRule="auto"/>
        <w:ind w:left="280" w:right="280"/>
        <w:jc w:val="both"/>
        <w:rPr>
          <w:rFonts w:ascii="Times New Roman" w:hAnsi="Times New Roman" w:cs="Times New Roman"/>
          <w:i/>
          <w:color w:val="212121"/>
          <w:highlight w:val="yellow"/>
        </w:rPr>
      </w:pPr>
      <w:r w:rsidRPr="00CC67C2">
        <w:rPr>
          <w:rFonts w:ascii="Times New Roman" w:hAnsi="Times New Roman" w:cs="Times New Roman"/>
          <w:noProof/>
        </w:rPr>
        <w:drawing>
          <wp:inline distT="0" distB="0" distL="0" distR="0">
            <wp:extent cx="5732145" cy="4623435"/>
            <wp:effectExtent l="0" t="0" r="0" b="0"/>
            <wp:docPr id="23"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2145" cy="4623435"/>
                    </a:xfrm>
                    <a:prstGeom prst="rect">
                      <a:avLst/>
                    </a:prstGeom>
                    <a:noFill/>
                    <a:ln>
                      <a:noFill/>
                    </a:ln>
                  </pic:spPr>
                </pic:pic>
              </a:graphicData>
            </a:graphic>
          </wp:inline>
        </w:drawing>
      </w:r>
    </w:p>
    <w:p w:rsidR="006A4D59" w:rsidRPr="0067008A" w:rsidRDefault="00921711" w:rsidP="002E7BE5">
      <w:pPr>
        <w:spacing w:after="240" w:line="360" w:lineRule="auto"/>
        <w:ind w:left="280" w:right="280"/>
        <w:jc w:val="both"/>
        <w:rPr>
          <w:rFonts w:ascii="Times New Roman" w:hAnsi="Times New Roman" w:cs="Times New Roman"/>
          <w:i/>
          <w:color w:val="212121"/>
          <w:highlight w:val="yellow"/>
        </w:rPr>
      </w:pPr>
      <w:r w:rsidRPr="0067008A">
        <w:rPr>
          <w:rFonts w:ascii="Times New Roman" w:hAnsi="Times New Roman" w:cs="Times New Roman"/>
          <w:i/>
          <w:color w:val="212121"/>
        </w:rPr>
        <w:t>Sin duda, este es un caso paradigmático para la Justicia Fiscal. Se trata de un presidente en ejercicio que oculta el control de un banco en Panamá a través de un entramado offshore, que traspasa ese control a sus cinco hijos en la lógica de un patrimonio/negocio familiar, y además de una experiencia en banca offshore que pone alerta en nueva información para terminar de develar sus negocios en paraísos fiscales como la cartera ecuatoriana de clientes de Banisi y su mecanismo de captación de depósitos de ecuatorianos</w:t>
      </w:r>
    </w:p>
    <w:p w:rsidR="006A4D59" w:rsidRPr="0067008A" w:rsidRDefault="00921711" w:rsidP="002E7BE5">
      <w:pPr>
        <w:spacing w:after="240" w:line="360" w:lineRule="auto"/>
        <w:ind w:left="280" w:right="280"/>
        <w:jc w:val="both"/>
        <w:rPr>
          <w:rFonts w:ascii="Times New Roman" w:hAnsi="Times New Roman" w:cs="Times New Roman"/>
          <w:i/>
          <w:color w:val="212121"/>
        </w:rPr>
      </w:pPr>
      <w:r w:rsidRPr="0067008A">
        <w:rPr>
          <w:rFonts w:ascii="Times New Roman" w:hAnsi="Times New Roman" w:cs="Times New Roman"/>
          <w:i/>
          <w:color w:val="212121"/>
        </w:rPr>
        <w:t>Es paradójico que Ecuador, país cuya legislación prohíbe a los políticos los negocios off shore, para evitar un sistema de delitos de poder, tenga a su máximo representante, por decir lo menos, muy enredado en ello.</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color w:val="212121"/>
        </w:rPr>
        <w:t>Es preciso tomar en cuenta que conforme lo dispuso en su momento el artículo 183 y la disposición transitoria vigésima sexta del Código Orgánico Monetario y Financiero todas las entidades financieras ecuatorianas o sus accionistas</w:t>
      </w:r>
      <w:r w:rsidR="00677E33" w:rsidRPr="0067008A">
        <w:rPr>
          <w:rFonts w:ascii="Times New Roman" w:hAnsi="Times New Roman" w:cs="Times New Roman"/>
          <w:color w:val="212121"/>
        </w:rPr>
        <w:t xml:space="preserve"> </w:t>
      </w:r>
      <w:r w:rsidRPr="0067008A">
        <w:rPr>
          <w:rFonts w:ascii="Times New Roman" w:hAnsi="Times New Roman" w:cs="Times New Roman"/>
          <w:color w:val="212121"/>
        </w:rPr>
        <w:t xml:space="preserve">debían desinvertir sus capitales en paraísos fiscales, lo cual el señor Guillermo Lasso incumplió puesto que conforme se desprende del oficio No. SB-DS-2017-0187-O de 27 de octubre de 2017 y suscrito por el ex Superintendente de Bancos Christian Mauricio Cruz Rodríguez se conminó al ahora </w:t>
      </w:r>
    </w:p>
    <w:p w:rsidR="006A4D59" w:rsidRPr="0067008A" w:rsidRDefault="00921711" w:rsidP="00677E33">
      <w:pPr>
        <w:spacing w:after="240" w:line="360" w:lineRule="auto"/>
        <w:jc w:val="both"/>
        <w:rPr>
          <w:rFonts w:ascii="Times New Roman" w:hAnsi="Times New Roman" w:cs="Times New Roman"/>
          <w:color w:val="212121"/>
        </w:rPr>
      </w:pPr>
      <w:r w:rsidRPr="0067008A">
        <w:rPr>
          <w:rFonts w:ascii="Times New Roman" w:hAnsi="Times New Roman" w:cs="Times New Roman"/>
          <w:color w:val="212121"/>
        </w:rPr>
        <w:t xml:space="preserve">Presidente de la República, que mantenía acciones y el control sobre la ex sucursal del Banco de Guayaquil en Panamá que se transformó en el Banco Banisi de Panamá y sobre el cual a través del Fideicomiso Mercantil de Administración GLM, accionista indirecto del Banco de Guayaquil por tener una participación correspondiente al 39% sobre la Corporación MultiBG S.A. a su vez poseedora del 79% del paquete accionario del Banco Guayaquil; a cumplir con el mandato legal y se desinvierta sobre dicho banco radicado en un paríso fiscal. </w:t>
      </w:r>
    </w:p>
    <w:p w:rsidR="006A4D59" w:rsidRPr="0067008A" w:rsidRDefault="00921711" w:rsidP="00677E33">
      <w:pPr>
        <w:spacing w:after="240" w:line="360" w:lineRule="auto"/>
        <w:jc w:val="both"/>
        <w:rPr>
          <w:rFonts w:ascii="Times New Roman" w:hAnsi="Times New Roman" w:cs="Times New Roman"/>
          <w:i/>
          <w:u w:val="single"/>
        </w:rPr>
      </w:pPr>
      <w:r w:rsidRPr="0067008A">
        <w:rPr>
          <w:rFonts w:ascii="Times New Roman" w:hAnsi="Times New Roman" w:cs="Times New Roman"/>
          <w:color w:val="212121"/>
        </w:rPr>
        <w:t>Al respecto llama la atención de esta comisión la duda que despierta la forma en la que en en dos ocasiones el señor Guillermo Lasso Mendoza debió deshacerse de su participación primero en Banco Guayaquil Panamá por mandato legal y después en Banco Banisi Panamá por mandato de la Superintendencia de Bancos del Ecuador, puesto que no se conoce a ciencia cierta cómo fue que el señor Lasso realizó las operaciones de compra de Banco Guayaquil Panamá (ahora Banisi), probablemente a través de la empresa Pietro Overseas, y la reciente compra del año 2020 de Banisi a favor de los hijos del señor Guillermo Lasso, pues si las operaciones antes descrita se realizaron a través de créditos vinculados o a través de simulaciones de compraventa bajo montos irrisorios también podría configurarse los elementos objetivos del tipo penal previsto en el artículo 278 del Código Orgánico Integral Penal, pues se podrían haber abusado de los recursos de la institución financiera ecuatoriana en beneficio propio del señor Guillermo Lasso Mendoza o en beneficio de terceros como serían los hijos del señor Presidente, por lo que es imperioso que la Fiscalía realice las investigaciones correspondientes más si se toma en cuenta que la naturaleza de este delito es imprescriptible por mandato constitucional.</w:t>
      </w:r>
    </w:p>
    <w:p w:rsidR="006A4D59" w:rsidRPr="0067008A" w:rsidRDefault="00921711" w:rsidP="00677E33">
      <w:pPr>
        <w:spacing w:after="240" w:line="360" w:lineRule="auto"/>
        <w:jc w:val="both"/>
        <w:rPr>
          <w:rFonts w:ascii="Times New Roman" w:hAnsi="Times New Roman" w:cs="Times New Roman"/>
          <w:b/>
          <w:highlight w:val="green"/>
        </w:rPr>
      </w:pPr>
      <w:r w:rsidRPr="0067008A">
        <w:rPr>
          <w:rFonts w:ascii="Times New Roman" w:hAnsi="Times New Roman" w:cs="Times New Roman"/>
          <w:b/>
        </w:rPr>
        <w:t>Incumplimento al Pacto Ético.</w:t>
      </w:r>
    </w:p>
    <w:p w:rsidR="006A4D59" w:rsidRPr="0067008A" w:rsidRDefault="00921711" w:rsidP="00677E33">
      <w:pPr>
        <w:spacing w:after="240" w:line="360" w:lineRule="auto"/>
        <w:jc w:val="both"/>
        <w:rPr>
          <w:rFonts w:ascii="Times New Roman" w:hAnsi="Times New Roman" w:cs="Times New Roman"/>
          <w:color w:val="333333"/>
        </w:rPr>
      </w:pPr>
      <w:r w:rsidRPr="0067008A">
        <w:rPr>
          <w:rFonts w:ascii="Times New Roman" w:hAnsi="Times New Roman" w:cs="Times New Roman"/>
          <w:color w:val="333333"/>
        </w:rPr>
        <w:t>El economista Rafael Correa Delgado,</w:t>
      </w:r>
      <w:r w:rsidR="00677E33" w:rsidRPr="0067008A">
        <w:rPr>
          <w:rFonts w:ascii="Times New Roman" w:hAnsi="Times New Roman" w:cs="Times New Roman"/>
          <w:color w:val="333333"/>
        </w:rPr>
        <w:t xml:space="preserve"> </w:t>
      </w:r>
      <w:r w:rsidRPr="0067008A">
        <w:rPr>
          <w:rFonts w:ascii="Times New Roman" w:hAnsi="Times New Roman" w:cs="Times New Roman"/>
          <w:color w:val="333333"/>
        </w:rPr>
        <w:t>ex presidente constitucional de la República del Ecuador, mediante oficio N.º T.7328 SGJ-16-422 del 14 de julio de 2016, solicitó a la Corte Constitucional emitir dictamen previo y vinculante de constitucionalidad respecto de la convocatoria a consulta popular, por la cual el pueblo ecuatoriano debía decidir sobre la relevancia de que ningún servidor público tenga bienes o capitales en paraísos fiscales para desempeñar sus funciones, garantizando con ello transparencia y combate a la corrupción y a la evasión de impuestos</w:t>
      </w:r>
    </w:p>
    <w:p w:rsidR="006A4D59" w:rsidRPr="0067008A" w:rsidRDefault="00921711" w:rsidP="00677E33">
      <w:pPr>
        <w:spacing w:after="240" w:line="360" w:lineRule="auto"/>
        <w:jc w:val="both"/>
        <w:rPr>
          <w:rFonts w:ascii="Times New Roman" w:hAnsi="Times New Roman" w:cs="Times New Roman"/>
          <w:color w:val="333333"/>
        </w:rPr>
      </w:pPr>
      <w:r w:rsidRPr="0067008A">
        <w:rPr>
          <w:rFonts w:ascii="Times New Roman" w:hAnsi="Times New Roman" w:cs="Times New Roman"/>
          <w:color w:val="333333"/>
        </w:rPr>
        <w:t xml:space="preserve">Cabe recordar que previo a la realización de la Consulta Popular del 19 de febrero de 2017, la Asamblea Nacional aprobó diversas leyes dirigidas a combatir los paraísos fiscales y sus efectos nocivos contra la economía del país y el ejercicio de los derechos económicos, sociales y culturales de sus habitantes, entre las que debemos destacar: </w:t>
      </w:r>
    </w:p>
    <w:p w:rsidR="006A4D59" w:rsidRPr="0067008A" w:rsidRDefault="00921711" w:rsidP="00677E33">
      <w:pPr>
        <w:spacing w:after="240" w:line="360" w:lineRule="auto"/>
        <w:jc w:val="both"/>
        <w:rPr>
          <w:rFonts w:ascii="Times New Roman" w:hAnsi="Times New Roman" w:cs="Times New Roman"/>
          <w:color w:val="333333"/>
        </w:rPr>
      </w:pPr>
      <w:r w:rsidRPr="0067008A">
        <w:rPr>
          <w:rFonts w:ascii="Times New Roman" w:hAnsi="Times New Roman" w:cs="Times New Roman"/>
          <w:color w:val="333333"/>
        </w:rPr>
        <w:t xml:space="preserve"> </w:t>
      </w:r>
    </w:p>
    <w:p w:rsidR="006A4D59" w:rsidRPr="0067008A" w:rsidRDefault="00921711" w:rsidP="00677E33">
      <w:pPr>
        <w:spacing w:after="240" w:line="360" w:lineRule="auto"/>
        <w:ind w:left="1080" w:hanging="360"/>
        <w:jc w:val="both"/>
        <w:rPr>
          <w:rFonts w:ascii="Times New Roman" w:hAnsi="Times New Roman" w:cs="Times New Roman"/>
          <w:color w:val="333333"/>
        </w:rPr>
      </w:pPr>
      <w:r w:rsidRPr="0067008A">
        <w:rPr>
          <w:rFonts w:ascii="Times New Roman" w:hAnsi="Times New Roman" w:cs="Times New Roman"/>
          <w:color w:val="333333"/>
        </w:rPr>
        <w:t>●</w:t>
      </w:r>
      <w:r w:rsidR="00677E33" w:rsidRPr="0067008A">
        <w:rPr>
          <w:rFonts w:ascii="Times New Roman" w:eastAsia="Times New Roman" w:hAnsi="Times New Roman" w:cs="Times New Roman"/>
          <w:color w:val="333333"/>
        </w:rPr>
        <w:t xml:space="preserve"> </w:t>
      </w:r>
      <w:r w:rsidRPr="0067008A">
        <w:rPr>
          <w:rFonts w:ascii="Times New Roman" w:hAnsi="Times New Roman" w:cs="Times New Roman"/>
          <w:color w:val="333333"/>
        </w:rPr>
        <w:t>Ley Reformatoria para la Equidad Tributaria en el Ecuador, publicada en el tercer suplemento del Registro Oficial N° 242 de 29 de diciembre de 2007.</w:t>
      </w:r>
    </w:p>
    <w:p w:rsidR="006A4D59" w:rsidRPr="0067008A" w:rsidRDefault="00921711" w:rsidP="00677E33">
      <w:pPr>
        <w:spacing w:after="240" w:line="360" w:lineRule="auto"/>
        <w:ind w:left="1080" w:hanging="360"/>
        <w:jc w:val="both"/>
        <w:rPr>
          <w:rFonts w:ascii="Times New Roman" w:hAnsi="Times New Roman" w:cs="Times New Roman"/>
          <w:color w:val="333333"/>
        </w:rPr>
      </w:pPr>
      <w:r w:rsidRPr="0067008A">
        <w:rPr>
          <w:rFonts w:ascii="Times New Roman" w:hAnsi="Times New Roman" w:cs="Times New Roman"/>
          <w:color w:val="333333"/>
        </w:rPr>
        <w:t>●</w:t>
      </w:r>
      <w:r w:rsidR="00677E33" w:rsidRPr="0067008A">
        <w:rPr>
          <w:rFonts w:ascii="Times New Roman" w:eastAsia="Times New Roman" w:hAnsi="Times New Roman" w:cs="Times New Roman"/>
          <w:color w:val="333333"/>
        </w:rPr>
        <w:t xml:space="preserve"> </w:t>
      </w:r>
      <w:r w:rsidRPr="0067008A">
        <w:rPr>
          <w:rFonts w:ascii="Times New Roman" w:hAnsi="Times New Roman" w:cs="Times New Roman"/>
          <w:color w:val="333333"/>
        </w:rPr>
        <w:t>Ley Orgánica de Incentivos a la Producción y Prevención de Fraude Fiscal, publicada en el Suplemento del Registro Oficial N° 405 de 29 de diciembre de 2014.</w:t>
      </w:r>
    </w:p>
    <w:p w:rsidR="006A4D59" w:rsidRPr="0067008A" w:rsidRDefault="00921711" w:rsidP="00677E33">
      <w:pPr>
        <w:spacing w:after="240" w:line="360" w:lineRule="auto"/>
        <w:ind w:left="1080" w:hanging="360"/>
        <w:jc w:val="both"/>
        <w:rPr>
          <w:rFonts w:ascii="Times New Roman" w:hAnsi="Times New Roman" w:cs="Times New Roman"/>
          <w:color w:val="333333"/>
        </w:rPr>
      </w:pPr>
      <w:r w:rsidRPr="0067008A">
        <w:rPr>
          <w:rFonts w:ascii="Times New Roman" w:hAnsi="Times New Roman" w:cs="Times New Roman"/>
          <w:color w:val="333333"/>
        </w:rPr>
        <w:t>●</w:t>
      </w:r>
      <w:r w:rsidR="00677E33" w:rsidRPr="0067008A">
        <w:rPr>
          <w:rFonts w:ascii="Times New Roman" w:eastAsia="Times New Roman" w:hAnsi="Times New Roman" w:cs="Times New Roman"/>
          <w:color w:val="333333"/>
        </w:rPr>
        <w:t xml:space="preserve"> </w:t>
      </w:r>
      <w:r w:rsidRPr="0067008A">
        <w:rPr>
          <w:rFonts w:ascii="Times New Roman" w:hAnsi="Times New Roman" w:cs="Times New Roman"/>
          <w:color w:val="333333"/>
        </w:rPr>
        <w:t>Ley Orgánica de Solidaridad publicada en el Suplemento del Registro Oficial N° 759 de 20 de mayo de 2016.</w:t>
      </w:r>
    </w:p>
    <w:p w:rsidR="006A4D59" w:rsidRPr="0067008A" w:rsidRDefault="00921711" w:rsidP="00677E33">
      <w:pPr>
        <w:spacing w:after="240" w:line="360" w:lineRule="auto"/>
        <w:ind w:left="720"/>
        <w:jc w:val="both"/>
        <w:rPr>
          <w:rFonts w:ascii="Times New Roman" w:hAnsi="Times New Roman" w:cs="Times New Roman"/>
          <w:color w:val="333333"/>
        </w:rPr>
      </w:pPr>
      <w:r w:rsidRPr="0067008A">
        <w:rPr>
          <w:rFonts w:ascii="Times New Roman" w:hAnsi="Times New Roman" w:cs="Times New Roman"/>
          <w:color w:val="333333"/>
        </w:rPr>
        <w:t xml:space="preserve"> </w:t>
      </w:r>
    </w:p>
    <w:p w:rsidR="006A4D59" w:rsidRPr="0067008A" w:rsidRDefault="00921711" w:rsidP="00677E33">
      <w:pPr>
        <w:spacing w:after="240" w:line="360" w:lineRule="auto"/>
        <w:jc w:val="both"/>
        <w:rPr>
          <w:rFonts w:ascii="Times New Roman" w:hAnsi="Times New Roman" w:cs="Times New Roman"/>
          <w:b/>
          <w:color w:val="333333"/>
        </w:rPr>
      </w:pPr>
      <w:r w:rsidRPr="0067008A">
        <w:rPr>
          <w:rFonts w:ascii="Times New Roman" w:hAnsi="Times New Roman" w:cs="Times New Roman"/>
          <w:b/>
          <w:color w:val="333333"/>
        </w:rPr>
        <w:t>El Dictámen de la Corte Constitucional y la consulta popular.</w:t>
      </w:r>
    </w:p>
    <w:p w:rsidR="006A4D59" w:rsidRPr="0067008A" w:rsidRDefault="00921711" w:rsidP="00677E33">
      <w:pPr>
        <w:spacing w:after="240" w:line="360" w:lineRule="auto"/>
        <w:jc w:val="both"/>
        <w:rPr>
          <w:rFonts w:ascii="Times New Roman" w:hAnsi="Times New Roman" w:cs="Times New Roman"/>
          <w:color w:val="333333"/>
        </w:rPr>
      </w:pPr>
      <w:r w:rsidRPr="0067008A">
        <w:rPr>
          <w:rFonts w:ascii="Times New Roman" w:hAnsi="Times New Roman" w:cs="Times New Roman"/>
          <w:color w:val="333333"/>
        </w:rPr>
        <w:t>El 15 de noviembre de 2016, la Corte Constitucional a través del Dictámen Nro.</w:t>
      </w:r>
      <w:r w:rsidR="00677E33" w:rsidRPr="0067008A">
        <w:rPr>
          <w:rFonts w:ascii="Times New Roman" w:hAnsi="Times New Roman" w:cs="Times New Roman"/>
          <w:color w:val="333333"/>
        </w:rPr>
        <w:t xml:space="preserve"> </w:t>
      </w:r>
      <w:r w:rsidRPr="0067008A">
        <w:rPr>
          <w:rFonts w:ascii="Times New Roman" w:hAnsi="Times New Roman" w:cs="Times New Roman"/>
          <w:color w:val="333333"/>
        </w:rPr>
        <w:t>003-16-DCP-CC declaró la constitucionalidad del proyecto de convocatoria a consulta popular propuesto por el presidente de la República, el 14 de julio de 2016, para lo cual la Corte Constitucional estableció que debe emitirse un decreto ejecutivo de convocatoria a consulta popular bajo los términos y condiciones establecidos en su dictamen.</w:t>
      </w:r>
    </w:p>
    <w:p w:rsidR="006A4D59" w:rsidRPr="0067008A" w:rsidRDefault="00921711" w:rsidP="00677E33">
      <w:pPr>
        <w:spacing w:after="240" w:line="360" w:lineRule="auto"/>
        <w:jc w:val="both"/>
        <w:rPr>
          <w:rFonts w:ascii="Times New Roman" w:hAnsi="Times New Roman" w:cs="Times New Roman"/>
          <w:color w:val="333333"/>
        </w:rPr>
      </w:pPr>
      <w:r w:rsidRPr="0067008A">
        <w:rPr>
          <w:rFonts w:ascii="Times New Roman" w:hAnsi="Times New Roman" w:cs="Times New Roman"/>
          <w:color w:val="333333"/>
        </w:rPr>
        <w:t xml:space="preserve">Para emitir su dictamen, la Corte Constitucional sostuvo que: </w:t>
      </w:r>
    </w:p>
    <w:p w:rsidR="006A4D59" w:rsidRPr="0067008A" w:rsidRDefault="00921711" w:rsidP="002E7BE5">
      <w:pPr>
        <w:spacing w:after="240" w:line="360" w:lineRule="auto"/>
        <w:ind w:left="720"/>
        <w:jc w:val="both"/>
        <w:rPr>
          <w:rFonts w:ascii="Times New Roman" w:hAnsi="Times New Roman" w:cs="Times New Roman"/>
          <w:color w:val="333333"/>
        </w:rPr>
      </w:pPr>
      <w:r w:rsidRPr="0067008A">
        <w:rPr>
          <w:rFonts w:ascii="Times New Roman" w:hAnsi="Times New Roman" w:cs="Times New Roman"/>
          <w:i/>
          <w:color w:val="333333"/>
        </w:rPr>
        <w:t>“(...) La Constitución de la República del Ecuador, publicada en el Registro Oficial N.° 449 del 20 de octubre de 2008, señala en el desarrollo de su contenido, como una característica importante, un amplio catálogo de derechos de participación en distintos ámbitos y dimensiones, así por ejemplo, en la adopción de decisiones políticas, a nivel nacional como local, a través de los distintos mecanismos de democracia directa. En este sentido, el artículo 1 de la Constitución de la República establece que la soberanía radica en el pueblo y que se ejerce a través de los órganos del poder público y de las formas de participación directa, establecidas por la misma norma constitucional. (...)</w:t>
      </w:r>
      <w:r w:rsidRPr="0067008A">
        <w:rPr>
          <w:rStyle w:val="Ancladenotaalpie"/>
          <w:rFonts w:ascii="Times New Roman" w:hAnsi="Times New Roman" w:cs="Times New Roman"/>
          <w:i/>
          <w:color w:val="333333"/>
        </w:rPr>
        <w:footnoteReference w:id="14"/>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color w:val="333333"/>
        </w:rPr>
        <w:t xml:space="preserve">En consecuencia, el dictamen de la Corte Constitucional reconoció la legitimidad del proceso de consulta popular, como una forma de expresión de la democracia directa, por la cual, la ciudadanía tiene una participación sin intermediación de ninguna naturaleza y puede expresar de manera libre y universal su voluntad sobre temas de interés general, haciendo expreso uso de la soberanía popular, sea a través de la Consulta Popular, Iniciativa Popular o la </w:t>
      </w:r>
    </w:p>
    <w:p w:rsidR="006A4D59" w:rsidRPr="0067008A" w:rsidRDefault="006A4D59" w:rsidP="00677E33">
      <w:pPr>
        <w:spacing w:after="240" w:line="360" w:lineRule="auto"/>
        <w:jc w:val="both"/>
        <w:rPr>
          <w:rFonts w:ascii="Times New Roman" w:hAnsi="Times New Roman" w:cs="Times New Roman"/>
          <w:color w:val="333333"/>
        </w:rPr>
      </w:pPr>
    </w:p>
    <w:p w:rsidR="006A4D59" w:rsidRPr="0067008A" w:rsidRDefault="00921711" w:rsidP="00677E33">
      <w:pPr>
        <w:spacing w:after="240" w:line="360" w:lineRule="auto"/>
        <w:jc w:val="both"/>
        <w:rPr>
          <w:rFonts w:ascii="Times New Roman" w:hAnsi="Times New Roman" w:cs="Times New Roman"/>
          <w:color w:val="333333"/>
        </w:rPr>
      </w:pPr>
      <w:r w:rsidRPr="0067008A">
        <w:rPr>
          <w:rFonts w:ascii="Times New Roman" w:hAnsi="Times New Roman" w:cs="Times New Roman"/>
          <w:color w:val="333333"/>
        </w:rPr>
        <w:t xml:space="preserve">Revocatoria del Mandato. </w:t>
      </w:r>
    </w:p>
    <w:p w:rsidR="006A4D59" w:rsidRPr="0067008A" w:rsidRDefault="00921711" w:rsidP="00677E33">
      <w:pPr>
        <w:spacing w:after="240" w:line="360" w:lineRule="auto"/>
        <w:jc w:val="both"/>
        <w:rPr>
          <w:rFonts w:ascii="Times New Roman" w:hAnsi="Times New Roman" w:cs="Times New Roman"/>
          <w:color w:val="333333"/>
        </w:rPr>
      </w:pPr>
      <w:r w:rsidRPr="0067008A">
        <w:rPr>
          <w:rFonts w:ascii="Times New Roman" w:hAnsi="Times New Roman" w:cs="Times New Roman"/>
          <w:color w:val="333333"/>
        </w:rPr>
        <w:t xml:space="preserve"> </w:t>
      </w:r>
    </w:p>
    <w:p w:rsidR="006A4D59" w:rsidRPr="0067008A" w:rsidRDefault="00921711" w:rsidP="00677E33">
      <w:pPr>
        <w:spacing w:after="240" w:line="360" w:lineRule="auto"/>
        <w:ind w:left="720"/>
        <w:jc w:val="both"/>
        <w:rPr>
          <w:rFonts w:ascii="Times New Roman" w:hAnsi="Times New Roman" w:cs="Times New Roman"/>
          <w:color w:val="333333"/>
        </w:rPr>
      </w:pPr>
      <w:r w:rsidRPr="0067008A">
        <w:rPr>
          <w:rFonts w:ascii="Times New Roman" w:hAnsi="Times New Roman" w:cs="Times New Roman"/>
          <w:color w:val="333333"/>
        </w:rPr>
        <w:t>“</w:t>
      </w:r>
      <w:r w:rsidRPr="0067008A">
        <w:rPr>
          <w:rFonts w:ascii="Times New Roman" w:hAnsi="Times New Roman" w:cs="Times New Roman"/>
          <w:i/>
          <w:color w:val="333333"/>
        </w:rPr>
        <w:t>(...) En la medida que la soberanía pertenece a la comunidad política, la comunidad política no está sometida más que a su propia decisión a la hora de gobernarse. El pueblo es quien tiene la decisión última y esa decisión dependerá, claro, de un juicio político del pueblo. Ese será un juicio que no está sometido al Derecho ni a la constitución. Es en ese especial sentido que el pueblo tiene la soberanía. El pueblo es libre de toda dominación a la hora de decidir, en última instancia, sobre toda la realidad estatal. El ejercicio de dicha libertad pertenece, en definitiva, a una comunidad política que decide fijar su propio destino. (...)</w:t>
      </w:r>
      <w:r w:rsidRPr="0067008A">
        <w:rPr>
          <w:rFonts w:ascii="Times New Roman" w:hAnsi="Times New Roman" w:cs="Times New Roman"/>
          <w:color w:val="333333"/>
        </w:rPr>
        <w:t>” (Las negrillas nos corresponden(...)</w:t>
      </w:r>
      <w:r w:rsidRPr="0067008A">
        <w:rPr>
          <w:rStyle w:val="Ancladenotaalpie"/>
          <w:rFonts w:ascii="Times New Roman" w:hAnsi="Times New Roman" w:cs="Times New Roman"/>
          <w:color w:val="333333"/>
        </w:rPr>
        <w:footnoteReference w:id="15"/>
      </w:r>
    </w:p>
    <w:p w:rsidR="006A4D59" w:rsidRPr="0067008A" w:rsidRDefault="00921711" w:rsidP="00677E33">
      <w:pPr>
        <w:spacing w:after="240" w:line="360" w:lineRule="auto"/>
        <w:ind w:left="720"/>
        <w:jc w:val="both"/>
        <w:rPr>
          <w:rFonts w:ascii="Times New Roman" w:hAnsi="Times New Roman" w:cs="Times New Roman"/>
          <w:color w:val="333333"/>
        </w:rPr>
      </w:pPr>
      <w:r w:rsidRPr="0067008A">
        <w:rPr>
          <w:rFonts w:ascii="Times New Roman" w:hAnsi="Times New Roman" w:cs="Times New Roman"/>
          <w:color w:val="333333"/>
        </w:rPr>
        <w:t xml:space="preserve"> </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333333"/>
        </w:rPr>
        <w:t>La Consulta Popular</w:t>
      </w:r>
      <w:r w:rsidR="00677E33" w:rsidRPr="0067008A">
        <w:rPr>
          <w:rFonts w:ascii="Times New Roman" w:hAnsi="Times New Roman" w:cs="Times New Roman"/>
          <w:color w:val="333333"/>
        </w:rPr>
        <w:t xml:space="preserve"> </w:t>
      </w:r>
      <w:r w:rsidRPr="0067008A">
        <w:rPr>
          <w:rFonts w:ascii="Times New Roman" w:hAnsi="Times New Roman" w:cs="Times New Roman"/>
          <w:color w:val="333333"/>
        </w:rPr>
        <w:t>efectuada el 19 de febrero de 2017, conocida como el “</w:t>
      </w:r>
      <w:r w:rsidRPr="0067008A">
        <w:rPr>
          <w:rFonts w:ascii="Times New Roman" w:hAnsi="Times New Roman" w:cs="Times New Roman"/>
          <w:color w:val="202122"/>
        </w:rPr>
        <w:t xml:space="preserve">Pacto ético", </w:t>
      </w:r>
      <w:r w:rsidRPr="0067008A">
        <w:rPr>
          <w:rFonts w:ascii="Times New Roman" w:hAnsi="Times New Roman" w:cs="Times New Roman"/>
          <w:color w:val="333333"/>
        </w:rPr>
        <w:t xml:space="preserve">dio como resultado que </w:t>
      </w:r>
      <w:r w:rsidRPr="0067008A">
        <w:rPr>
          <w:rFonts w:ascii="Times New Roman" w:hAnsi="Times New Roman" w:cs="Times New Roman"/>
          <w:color w:val="202122"/>
        </w:rPr>
        <w:t>la mayoría absoluta de votos, el 55,12% de la población estuvo a favor del Sí y el 44,88% se pronunció por el NO. En ese sentido, conforme establece el tercer inciso del artículo 106 de la Constitución de la República, “</w:t>
      </w:r>
      <w:r w:rsidRPr="0067008A">
        <w:rPr>
          <w:rFonts w:ascii="Times New Roman" w:hAnsi="Times New Roman" w:cs="Times New Roman"/>
          <w:i/>
          <w:color w:val="202122"/>
        </w:rPr>
        <w:t>el pronunciamiento popular será de obligatorio e inmediato cumplimiento”</w:t>
      </w:r>
      <w:r w:rsidRPr="0067008A">
        <w:rPr>
          <w:rFonts w:ascii="Times New Roman" w:hAnsi="Times New Roman" w:cs="Times New Roman"/>
          <w:color w:val="202122"/>
        </w:rPr>
        <w:t>, en consecuencia, la decisión adoptada por la mayoría del pueblo ecuatoriano fue disponer que a todos los servidores públicos y candidatos a cargos de elección popular se les prohíba tener bienes o capitales en paraísos fiscales.</w:t>
      </w:r>
    </w:p>
    <w:p w:rsidR="006A4D59" w:rsidRPr="0067008A" w:rsidRDefault="00921711" w:rsidP="00677E33">
      <w:pPr>
        <w:spacing w:after="240" w:line="360" w:lineRule="auto"/>
        <w:jc w:val="both"/>
        <w:rPr>
          <w:rFonts w:ascii="Times New Roman" w:hAnsi="Times New Roman" w:cs="Times New Roman"/>
          <w:b/>
          <w:color w:val="202122"/>
        </w:rPr>
      </w:pPr>
      <w:r w:rsidRPr="0067008A">
        <w:rPr>
          <w:rFonts w:ascii="Times New Roman" w:hAnsi="Times New Roman" w:cs="Times New Roman"/>
          <w:b/>
          <w:color w:val="202122"/>
        </w:rPr>
        <w:t>La promulgación de la Ley Orgánica para la Aplicación de la Consulta Popular Efectuada el 19 de febrero de 2017.</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333333"/>
        </w:rPr>
        <w:t xml:space="preserve">El 8 de septiembre de 2017 a través del Registro Oficial Nro. 75 se promulgó la </w:t>
      </w:r>
      <w:r w:rsidRPr="0067008A">
        <w:rPr>
          <w:rFonts w:ascii="Times New Roman" w:hAnsi="Times New Roman" w:cs="Times New Roman"/>
          <w:color w:val="202122"/>
        </w:rPr>
        <w:t>Ley Orgánica para la Aplicación de la Consulta Popular Efectuada el 19 de febrero de 2017, en cumplimiento del pronunciamiento mayoritario del pueblo ecuatoriano, motivo por el cual, la Asamblea Nacional dictó la ley orgánica mencionada.</w:t>
      </w:r>
    </w:p>
    <w:p w:rsidR="006A4D59" w:rsidRPr="0067008A" w:rsidRDefault="00921711" w:rsidP="00677E33">
      <w:pPr>
        <w:numPr>
          <w:ilvl w:val="0"/>
          <w:numId w:val="8"/>
        </w:num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Ámbito personal de aplicación de la ley.</w:t>
      </w:r>
    </w:p>
    <w:p w:rsidR="006A4D59" w:rsidRPr="0067008A" w:rsidRDefault="00921711" w:rsidP="00677E33">
      <w:pPr>
        <w:spacing w:after="240" w:line="360" w:lineRule="auto"/>
        <w:ind w:left="720"/>
        <w:jc w:val="both"/>
        <w:rPr>
          <w:rFonts w:ascii="Times New Roman" w:hAnsi="Times New Roman" w:cs="Times New Roman"/>
          <w:color w:val="202122"/>
        </w:rPr>
      </w:pPr>
      <w:r w:rsidRPr="0067008A">
        <w:rPr>
          <w:rFonts w:ascii="Times New Roman" w:hAnsi="Times New Roman" w:cs="Times New Roman"/>
          <w:color w:val="202122"/>
        </w:rPr>
        <w:t xml:space="preserve">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color w:val="202122"/>
        </w:rPr>
        <w:t>La Ley Orgánica para la Aplicación de la Consulta Popular Efectuada el 19 de febrero de 2017</w:t>
      </w:r>
      <w:r w:rsidRPr="0067008A">
        <w:rPr>
          <w:rFonts w:ascii="Times New Roman" w:hAnsi="Times New Roman" w:cs="Times New Roman"/>
        </w:rPr>
        <w:t xml:space="preserve">, en el artículo 1 relativo al ámbito de aplicación determina las personas sobre las que recae su aplicación, así: </w:t>
      </w:r>
    </w:p>
    <w:p w:rsidR="006A4D59" w:rsidRPr="0067008A" w:rsidRDefault="00921711" w:rsidP="00677E33">
      <w:pPr>
        <w:spacing w:after="240" w:line="360" w:lineRule="auto"/>
        <w:ind w:left="720"/>
        <w:jc w:val="both"/>
        <w:rPr>
          <w:rFonts w:ascii="Times New Roman" w:hAnsi="Times New Roman" w:cs="Times New Roman"/>
          <w:i/>
        </w:rPr>
      </w:pPr>
      <w:r w:rsidRPr="0067008A">
        <w:rPr>
          <w:rFonts w:ascii="Times New Roman" w:hAnsi="Times New Roman" w:cs="Times New Roman"/>
          <w:i/>
        </w:rPr>
        <w:t xml:space="preserve">“(...) 1. A las personas que ostenten una dignidad de elección popular de conformidad con lo previsto en la Constitución de la República del Ecuador. </w:t>
      </w:r>
    </w:p>
    <w:p w:rsidR="006A4D59" w:rsidRPr="0067008A" w:rsidRDefault="00921711" w:rsidP="00677E33">
      <w:pPr>
        <w:spacing w:after="240" w:line="360" w:lineRule="auto"/>
        <w:ind w:left="720"/>
        <w:jc w:val="both"/>
        <w:rPr>
          <w:rFonts w:ascii="Times New Roman" w:hAnsi="Times New Roman" w:cs="Times New Roman"/>
          <w:i/>
        </w:rPr>
      </w:pPr>
      <w:r w:rsidRPr="0067008A">
        <w:rPr>
          <w:rFonts w:ascii="Times New Roman" w:hAnsi="Times New Roman" w:cs="Times New Roman"/>
          <w:i/>
        </w:rPr>
        <w:t xml:space="preserve">2. A las personas que sean consideradas como servidoras o servidores públicos, en los términos de la Constitución y la ley. </w:t>
      </w:r>
    </w:p>
    <w:p w:rsidR="006A4D59" w:rsidRPr="0067008A" w:rsidRDefault="00921711" w:rsidP="00677E33">
      <w:pPr>
        <w:spacing w:after="240" w:line="360" w:lineRule="auto"/>
        <w:ind w:left="720"/>
        <w:jc w:val="both"/>
        <w:rPr>
          <w:rFonts w:ascii="Times New Roman" w:hAnsi="Times New Roman" w:cs="Times New Roman"/>
          <w:i/>
        </w:rPr>
      </w:pPr>
      <w:r w:rsidRPr="0067008A">
        <w:rPr>
          <w:rFonts w:ascii="Times New Roman" w:hAnsi="Times New Roman" w:cs="Times New Roman"/>
          <w:i/>
        </w:rPr>
        <w:t xml:space="preserve">3. A las personas que sean candidatas o se encuentren postulando para un cargo público de elección popular. </w:t>
      </w:r>
    </w:p>
    <w:p w:rsidR="006A4D59" w:rsidRPr="0067008A" w:rsidRDefault="00921711" w:rsidP="002E7BE5">
      <w:pPr>
        <w:spacing w:after="240" w:line="360" w:lineRule="auto"/>
        <w:ind w:firstLine="720"/>
        <w:jc w:val="both"/>
        <w:rPr>
          <w:rFonts w:ascii="Times New Roman" w:hAnsi="Times New Roman" w:cs="Times New Roman"/>
        </w:rPr>
      </w:pPr>
      <w:r w:rsidRPr="0067008A">
        <w:rPr>
          <w:rFonts w:ascii="Times New Roman" w:hAnsi="Times New Roman" w:cs="Times New Roman"/>
          <w:i/>
        </w:rPr>
        <w:t>4. A las personas que aspiren ingresar al servicio público”</w:t>
      </w:r>
      <w:r w:rsidRPr="0067008A">
        <w:rPr>
          <w:rFonts w:ascii="Times New Roman" w:hAnsi="Times New Roman" w:cs="Times New Roman"/>
        </w:rPr>
        <w:t>.</w:t>
      </w:r>
    </w:p>
    <w:p w:rsidR="006A4D59" w:rsidRPr="0067008A" w:rsidRDefault="00921711" w:rsidP="00677E33">
      <w:pPr>
        <w:numPr>
          <w:ilvl w:val="0"/>
          <w:numId w:val="14"/>
        </w:num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Las prohibiciones expresas de la ley.</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Por otra parte, la Ley desarrolla las prohibiciones expresas tanto para los servidores públicos, como para los candidatos a cargos de elección popular, en esa perspectiva el artículo 4 de la ley dispone que no podrán ser propietarios directos o indirectos de bienes o capitales en paraísos fiscales, ni directivos de sociedades en estas jurisdicciones. </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Adicionalmente, el artículo mencionado establece que ser propietario indirecto incluye; la participación en capitales y la propiedad de bienes, como socios, accionistas, constituyentes, beneficiarios cuyas inversiones buscan evadir el pago de impuestos. Se considera también propietario indirecto a quien tenga legal, económica o de hecho el poder de controlar la propiedad.</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Finalmente, el artículo 4 señala que se presume como propietario de los bienes o capitales, a quien cuyo cónyuge, o persona con quien mantenga unión de hecho, o hijos no emancipados sean propietarios de los bienes o capitales en los paraísos fiscales.</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Para mayor detalle, el artículo 4 señala:</w:t>
      </w:r>
    </w:p>
    <w:p w:rsidR="006A4D59" w:rsidRPr="0067008A" w:rsidRDefault="00921711" w:rsidP="002E7BE5">
      <w:pPr>
        <w:spacing w:after="240" w:line="360" w:lineRule="auto"/>
        <w:ind w:left="720"/>
        <w:jc w:val="both"/>
        <w:rPr>
          <w:rFonts w:ascii="Times New Roman" w:hAnsi="Times New Roman" w:cs="Times New Roman"/>
          <w:i/>
          <w:u w:val="single"/>
        </w:rPr>
      </w:pPr>
      <w:r w:rsidRPr="0067008A">
        <w:rPr>
          <w:rFonts w:ascii="Times New Roman" w:hAnsi="Times New Roman" w:cs="Times New Roman"/>
          <w:i/>
        </w:rPr>
        <w:t>“Art. 4.- Prohibición de ocupación y desempeño de cargos en el sector público.</w:t>
      </w:r>
      <w:r w:rsidRPr="0067008A">
        <w:rPr>
          <w:rFonts w:ascii="Times New Roman" w:hAnsi="Times New Roman" w:cs="Times New Roman"/>
          <w:i/>
        </w:rPr>
        <w:softHyphen/>
        <w:t xml:space="preserve"> Las personas señaladas en el artículo 1 de esta Ley </w:t>
      </w:r>
      <w:r w:rsidRPr="0067008A">
        <w:rPr>
          <w:rFonts w:ascii="Times New Roman" w:hAnsi="Times New Roman" w:cs="Times New Roman"/>
          <w:i/>
          <w:u w:val="single"/>
        </w:rPr>
        <w:t>no podrán ser propietarios directos o indirectos de bienes o capitales</w:t>
      </w:r>
      <w:r w:rsidRPr="0067008A">
        <w:rPr>
          <w:rFonts w:ascii="Times New Roman" w:hAnsi="Times New Roman" w:cs="Times New Roman"/>
          <w:i/>
        </w:rPr>
        <w:t xml:space="preserve">, de cualquier naturaleza, en jurisdicciones o regímenes considerados como </w:t>
      </w:r>
      <w:r w:rsidRPr="0067008A">
        <w:rPr>
          <w:rFonts w:ascii="Times New Roman" w:hAnsi="Times New Roman" w:cs="Times New Roman"/>
          <w:i/>
          <w:u w:val="single"/>
        </w:rPr>
        <w:t>paraísos fiscales. Tampoco podrán ostentar condición de directivos</w:t>
      </w:r>
      <w:r w:rsidRPr="0067008A">
        <w:rPr>
          <w:rFonts w:ascii="Times New Roman" w:hAnsi="Times New Roman" w:cs="Times New Roman"/>
          <w:i/>
        </w:rPr>
        <w:t xml:space="preserve"> en sociedades establecidas, constituidas o domiciliadas en tales jurisdicciones o regímenes. La referencia a </w:t>
      </w:r>
      <w:r w:rsidRPr="0067008A">
        <w:rPr>
          <w:rFonts w:ascii="Times New Roman" w:hAnsi="Times New Roman" w:cs="Times New Roman"/>
          <w:i/>
          <w:u w:val="single"/>
        </w:rPr>
        <w:t>propietario indirecto incluye:</w:t>
      </w:r>
    </w:p>
    <w:p w:rsidR="006A4D59" w:rsidRPr="0067008A" w:rsidRDefault="00921711" w:rsidP="002E7BE5">
      <w:pPr>
        <w:spacing w:after="240" w:line="360" w:lineRule="auto"/>
        <w:ind w:left="720"/>
        <w:jc w:val="both"/>
        <w:rPr>
          <w:rFonts w:ascii="Times New Roman" w:hAnsi="Times New Roman" w:cs="Times New Roman"/>
          <w:i/>
        </w:rPr>
      </w:pPr>
      <w:r w:rsidRPr="0067008A">
        <w:rPr>
          <w:rFonts w:ascii="Times New Roman" w:hAnsi="Times New Roman" w:cs="Times New Roman"/>
          <w:i/>
        </w:rPr>
        <w:t xml:space="preserve">1. La </w:t>
      </w:r>
      <w:r w:rsidRPr="0067008A">
        <w:rPr>
          <w:rFonts w:ascii="Times New Roman" w:hAnsi="Times New Roman" w:cs="Times New Roman"/>
          <w:i/>
          <w:u w:val="single"/>
        </w:rPr>
        <w:t xml:space="preserve">participación en capitales </w:t>
      </w:r>
      <w:r w:rsidRPr="0067008A">
        <w:rPr>
          <w:rFonts w:ascii="Times New Roman" w:hAnsi="Times New Roman" w:cs="Times New Roman"/>
          <w:i/>
        </w:rPr>
        <w:t xml:space="preserve">bajo condición de socios, accionistas, constituyentes, beneficiarios o cualquier otra modalidad, respecto de cualquier tipo de derechos representativos de capital, en sociedades, que a su vez sean propietarias de capitales en jurisdicciones o regímenes considerados como paraísos fiscales. Se excluyen las inversiones en fondos de ahorros, fondos de jubilación, seguros de vida, seguros de salud, realizadas en empresas no domiciliadas en paraísos fiscales, así como las inversiones en acciones de compañías de capital abierto domiciliadas en Ecuador o en jurisdicciones que no sean paraísos fiscales, siempre que sean accionistas minoritarios. Salvo que se demuestre, con prueba en contrario, que estas inversiones obedecen a tramas de evasión de la prohibición contenida en esta Ley. </w:t>
      </w:r>
    </w:p>
    <w:p w:rsidR="006A4D59" w:rsidRPr="0067008A" w:rsidRDefault="00921711" w:rsidP="002E7BE5">
      <w:pPr>
        <w:spacing w:after="240" w:line="360" w:lineRule="auto"/>
        <w:ind w:left="720"/>
        <w:jc w:val="both"/>
        <w:rPr>
          <w:rFonts w:ascii="Times New Roman" w:hAnsi="Times New Roman" w:cs="Times New Roman"/>
          <w:i/>
        </w:rPr>
      </w:pPr>
      <w:r w:rsidRPr="0067008A">
        <w:rPr>
          <w:rFonts w:ascii="Times New Roman" w:hAnsi="Times New Roman" w:cs="Times New Roman"/>
          <w:i/>
        </w:rPr>
        <w:t xml:space="preserve">2. La </w:t>
      </w:r>
      <w:r w:rsidRPr="0067008A">
        <w:rPr>
          <w:rFonts w:ascii="Times New Roman" w:hAnsi="Times New Roman" w:cs="Times New Roman"/>
          <w:i/>
          <w:u w:val="single"/>
        </w:rPr>
        <w:t>propiedad de bienes</w:t>
      </w:r>
      <w:r w:rsidRPr="0067008A">
        <w:rPr>
          <w:rFonts w:ascii="Times New Roman" w:hAnsi="Times New Roman" w:cs="Times New Roman"/>
          <w:i/>
        </w:rPr>
        <w:t xml:space="preserve"> a través de sociedades de las cuales sean socios, accionistas, constituyentes o beneficiarios bajo cualquier modalidad y que funjan como propietarias de tales bienes en jurisdicciones o regímenes considerados como paraísos fiscales. </w:t>
      </w:r>
    </w:p>
    <w:p w:rsidR="006A4D59" w:rsidRPr="0067008A" w:rsidRDefault="00921711" w:rsidP="002E7BE5">
      <w:pPr>
        <w:spacing w:after="240" w:line="360" w:lineRule="auto"/>
        <w:ind w:left="720"/>
        <w:jc w:val="both"/>
        <w:rPr>
          <w:rFonts w:ascii="Times New Roman" w:hAnsi="Times New Roman" w:cs="Times New Roman"/>
          <w:i/>
        </w:rPr>
      </w:pPr>
      <w:r w:rsidRPr="0067008A">
        <w:rPr>
          <w:rFonts w:ascii="Times New Roman" w:hAnsi="Times New Roman" w:cs="Times New Roman"/>
          <w:i/>
        </w:rPr>
        <w:t xml:space="preserve">De igual forma, la referencia a propietario indirecto aplica cuando </w:t>
      </w:r>
      <w:r w:rsidRPr="0067008A">
        <w:rPr>
          <w:rFonts w:ascii="Times New Roman" w:hAnsi="Times New Roman" w:cs="Times New Roman"/>
          <w:i/>
          <w:u w:val="single"/>
        </w:rPr>
        <w:t>el sujeto obligado sea quien tenga legal, económicamente o de hecho el poder de controlar la propiedad</w:t>
      </w:r>
      <w:r w:rsidRPr="0067008A">
        <w:rPr>
          <w:rFonts w:ascii="Times New Roman" w:hAnsi="Times New Roman" w:cs="Times New Roman"/>
          <w:i/>
        </w:rPr>
        <w:t xml:space="preserve"> en cuestión; así como de utilizar, disfrutar, beneficiarse o disponer de la misma. </w:t>
      </w:r>
    </w:p>
    <w:p w:rsidR="006A4D59" w:rsidRPr="0067008A" w:rsidRDefault="00921711" w:rsidP="002E7BE5">
      <w:pPr>
        <w:spacing w:after="240" w:line="360" w:lineRule="auto"/>
        <w:ind w:left="720"/>
        <w:jc w:val="both"/>
        <w:rPr>
          <w:rFonts w:ascii="Times New Roman" w:hAnsi="Times New Roman" w:cs="Times New Roman"/>
          <w:i/>
        </w:rPr>
      </w:pPr>
      <w:r w:rsidRPr="0067008A">
        <w:rPr>
          <w:rFonts w:ascii="Times New Roman" w:hAnsi="Times New Roman" w:cs="Times New Roman"/>
          <w:i/>
        </w:rPr>
        <w:t xml:space="preserve">Para el efecto, se considerará el concepto de sociedad previsto en el artículo 98 de la Ley de Régimen Tributario Interno. </w:t>
      </w:r>
    </w:p>
    <w:p w:rsidR="006A4D59" w:rsidRPr="0067008A" w:rsidRDefault="00921711" w:rsidP="002E7BE5">
      <w:pPr>
        <w:spacing w:after="240" w:line="360" w:lineRule="auto"/>
        <w:ind w:left="720"/>
        <w:jc w:val="both"/>
        <w:rPr>
          <w:rFonts w:ascii="Times New Roman" w:hAnsi="Times New Roman" w:cs="Times New Roman"/>
        </w:rPr>
      </w:pPr>
      <w:r w:rsidRPr="0067008A">
        <w:rPr>
          <w:rFonts w:ascii="Times New Roman" w:hAnsi="Times New Roman" w:cs="Times New Roman"/>
          <w:i/>
          <w:u w:val="single"/>
        </w:rPr>
        <w:t>Se presume la propiedad de bienes o capitales en aquellos casos en los que el cónyuge, persona con quien mantenga unión de hecho o hijos no emancipados de la persona obligada, sean propietarios de bienes o capitales</w:t>
      </w:r>
      <w:r w:rsidRPr="0067008A">
        <w:rPr>
          <w:rFonts w:ascii="Times New Roman" w:hAnsi="Times New Roman" w:cs="Times New Roman"/>
          <w:i/>
        </w:rPr>
        <w:t xml:space="preserve">, conforme lo establecido en este artículo, salvo prueba en contrario que demuestre que la propiedad de tales personas no obedece a tramas de evasión de la prohibición contenida en esta Ley.” </w:t>
      </w:r>
      <w:r w:rsidRPr="0067008A">
        <w:rPr>
          <w:rFonts w:ascii="Times New Roman" w:hAnsi="Times New Roman" w:cs="Times New Roman"/>
        </w:rPr>
        <w:t>(Las negrillas y subrayado nos corresponden).</w:t>
      </w:r>
    </w:p>
    <w:p w:rsidR="006A4D59" w:rsidRPr="0067008A" w:rsidRDefault="00921711" w:rsidP="002E7BE5">
      <w:pPr>
        <w:spacing w:after="240" w:line="360" w:lineRule="auto"/>
        <w:jc w:val="both"/>
        <w:rPr>
          <w:rFonts w:ascii="Times New Roman" w:hAnsi="Times New Roman" w:cs="Times New Roman"/>
        </w:rPr>
      </w:pPr>
      <w:r w:rsidRPr="0067008A">
        <w:rPr>
          <w:rFonts w:ascii="Times New Roman" w:hAnsi="Times New Roman" w:cs="Times New Roman"/>
        </w:rPr>
        <w:t>2.1 La propiedad indirecta de bienes y capitales, el “principio de realidad económica” y la simulación en los actos jurídicos.</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rPr>
        <w:t xml:space="preserve">El artículo 4 de la </w:t>
      </w:r>
      <w:r w:rsidRPr="0067008A">
        <w:rPr>
          <w:rFonts w:ascii="Times New Roman" w:hAnsi="Times New Roman" w:cs="Times New Roman"/>
          <w:color w:val="202122"/>
        </w:rPr>
        <w:t>Ley Orgánica para la Aplicación de la Consulta Popular Efectuada el 19 de febrero de 2017, detalla que la condición de propietario indirecto incluye:</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 </w:t>
      </w:r>
    </w:p>
    <w:tbl>
      <w:tblPr>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1996"/>
        <w:gridCol w:w="2385"/>
        <w:gridCol w:w="2040"/>
        <w:gridCol w:w="2594"/>
      </w:tblGrid>
      <w:tr w:rsidR="006A4D59" w:rsidRPr="0067008A">
        <w:trPr>
          <w:trHeight w:val="3840"/>
        </w:trPr>
        <w:tc>
          <w:tcPr>
            <w:tcW w:w="1995" w:type="dxa"/>
            <w:tcBorders>
              <w:top w:val="single" w:sz="8" w:space="0" w:color="000000"/>
              <w:left w:val="single" w:sz="8" w:space="0" w:color="000000"/>
              <w:bottom w:val="single" w:sz="8" w:space="0" w:color="000000"/>
              <w:right w:val="single" w:sz="8" w:space="0" w:color="000000"/>
            </w:tcBorders>
            <w:shd w:val="clear" w:color="auto" w:fill="C9DAF8"/>
          </w:tcPr>
          <w:p w:rsidR="006A4D59" w:rsidRPr="0067008A" w:rsidRDefault="00921711" w:rsidP="00677E33">
            <w:pPr>
              <w:spacing w:after="240" w:line="360" w:lineRule="auto"/>
              <w:jc w:val="both"/>
              <w:rPr>
                <w:rFonts w:ascii="Times New Roman" w:hAnsi="Times New Roman" w:cs="Times New Roman"/>
                <w:i/>
                <w:color w:val="202122"/>
              </w:rPr>
            </w:pPr>
            <w:r w:rsidRPr="0067008A">
              <w:rPr>
                <w:rFonts w:ascii="Times New Roman" w:hAnsi="Times New Roman" w:cs="Times New Roman"/>
                <w:i/>
                <w:color w:val="202122"/>
              </w:rPr>
              <w:t xml:space="preserve"> </w:t>
            </w:r>
          </w:p>
          <w:p w:rsidR="006A4D59" w:rsidRPr="0067008A" w:rsidRDefault="00921711" w:rsidP="00677E33">
            <w:pPr>
              <w:spacing w:after="240" w:line="360" w:lineRule="auto"/>
              <w:jc w:val="both"/>
              <w:rPr>
                <w:rFonts w:ascii="Times New Roman" w:hAnsi="Times New Roman" w:cs="Times New Roman"/>
                <w:i/>
                <w:color w:val="202122"/>
              </w:rPr>
            </w:pPr>
            <w:r w:rsidRPr="0067008A">
              <w:rPr>
                <w:rFonts w:ascii="Times New Roman" w:hAnsi="Times New Roman" w:cs="Times New Roman"/>
                <w:i/>
                <w:color w:val="202122"/>
              </w:rPr>
              <w:t xml:space="preserve"> </w:t>
            </w:r>
          </w:p>
          <w:p w:rsidR="006A4D59" w:rsidRPr="0067008A" w:rsidRDefault="00921711" w:rsidP="00677E33">
            <w:pPr>
              <w:spacing w:after="240" w:line="360" w:lineRule="auto"/>
              <w:jc w:val="both"/>
              <w:rPr>
                <w:rFonts w:ascii="Times New Roman" w:hAnsi="Times New Roman" w:cs="Times New Roman"/>
                <w:i/>
                <w:color w:val="202122"/>
              </w:rPr>
            </w:pPr>
            <w:r w:rsidRPr="0067008A">
              <w:rPr>
                <w:rFonts w:ascii="Times New Roman" w:hAnsi="Times New Roman" w:cs="Times New Roman"/>
                <w:i/>
                <w:color w:val="202122"/>
              </w:rPr>
              <w:t xml:space="preserve"> </w:t>
            </w:r>
          </w:p>
          <w:p w:rsidR="006A4D59" w:rsidRPr="0067008A" w:rsidRDefault="00921711" w:rsidP="00677E33">
            <w:pPr>
              <w:spacing w:after="240" w:line="360" w:lineRule="auto"/>
              <w:jc w:val="both"/>
              <w:rPr>
                <w:rFonts w:ascii="Times New Roman" w:hAnsi="Times New Roman" w:cs="Times New Roman"/>
                <w:i/>
                <w:color w:val="202122"/>
              </w:rPr>
            </w:pPr>
            <w:r w:rsidRPr="0067008A">
              <w:rPr>
                <w:rFonts w:ascii="Times New Roman" w:hAnsi="Times New Roman" w:cs="Times New Roman"/>
                <w:i/>
                <w:color w:val="202122"/>
              </w:rPr>
              <w:t xml:space="preserve"> </w:t>
            </w:r>
          </w:p>
          <w:p w:rsidR="006A4D59" w:rsidRPr="0067008A" w:rsidRDefault="00921711" w:rsidP="00677E33">
            <w:pPr>
              <w:spacing w:after="240" w:line="360" w:lineRule="auto"/>
              <w:jc w:val="both"/>
              <w:rPr>
                <w:rFonts w:ascii="Times New Roman" w:hAnsi="Times New Roman" w:cs="Times New Roman"/>
                <w:i/>
                <w:color w:val="202122"/>
              </w:rPr>
            </w:pPr>
            <w:r w:rsidRPr="0067008A">
              <w:rPr>
                <w:rFonts w:ascii="Times New Roman" w:hAnsi="Times New Roman" w:cs="Times New Roman"/>
                <w:i/>
                <w:color w:val="202122"/>
              </w:rPr>
              <w:t xml:space="preserve"> </w:t>
            </w:r>
          </w:p>
          <w:p w:rsidR="006A4D59" w:rsidRPr="0067008A" w:rsidRDefault="00921711" w:rsidP="00677E33">
            <w:pPr>
              <w:spacing w:after="240" w:line="360" w:lineRule="auto"/>
              <w:jc w:val="both"/>
              <w:rPr>
                <w:rFonts w:ascii="Times New Roman" w:hAnsi="Times New Roman" w:cs="Times New Roman"/>
                <w:i/>
                <w:color w:val="202122"/>
              </w:rPr>
            </w:pPr>
            <w:r w:rsidRPr="0067008A">
              <w:rPr>
                <w:rFonts w:ascii="Times New Roman" w:hAnsi="Times New Roman" w:cs="Times New Roman"/>
                <w:i/>
                <w:color w:val="202122"/>
              </w:rPr>
              <w:t xml:space="preserve"> </w:t>
            </w:r>
          </w:p>
          <w:p w:rsidR="006A4D59" w:rsidRPr="0067008A" w:rsidRDefault="00921711" w:rsidP="00677E33">
            <w:pPr>
              <w:spacing w:after="240" w:line="360" w:lineRule="auto"/>
              <w:jc w:val="both"/>
              <w:rPr>
                <w:rFonts w:ascii="Times New Roman" w:hAnsi="Times New Roman" w:cs="Times New Roman"/>
                <w:i/>
                <w:color w:val="202122"/>
              </w:rPr>
            </w:pPr>
            <w:r w:rsidRPr="0067008A">
              <w:rPr>
                <w:rFonts w:ascii="Times New Roman" w:hAnsi="Times New Roman" w:cs="Times New Roman"/>
                <w:i/>
                <w:color w:val="202122"/>
              </w:rPr>
              <w:t xml:space="preserve"> </w:t>
            </w:r>
          </w:p>
          <w:p w:rsidR="006A4D59" w:rsidRPr="0067008A" w:rsidRDefault="00921711" w:rsidP="00677E33">
            <w:pPr>
              <w:spacing w:after="240" w:line="360" w:lineRule="auto"/>
              <w:jc w:val="both"/>
              <w:rPr>
                <w:rFonts w:ascii="Times New Roman" w:hAnsi="Times New Roman" w:cs="Times New Roman"/>
                <w:i/>
                <w:color w:val="202122"/>
              </w:rPr>
            </w:pPr>
            <w:r w:rsidRPr="0067008A">
              <w:rPr>
                <w:rFonts w:ascii="Times New Roman" w:hAnsi="Times New Roman" w:cs="Times New Roman"/>
                <w:i/>
                <w:color w:val="202122"/>
              </w:rPr>
              <w:t xml:space="preserve"> </w:t>
            </w:r>
          </w:p>
          <w:p w:rsidR="006A4D59" w:rsidRPr="0067008A" w:rsidRDefault="00921711" w:rsidP="00677E33">
            <w:pPr>
              <w:spacing w:after="240" w:line="360" w:lineRule="auto"/>
              <w:jc w:val="both"/>
              <w:rPr>
                <w:rFonts w:ascii="Times New Roman" w:hAnsi="Times New Roman" w:cs="Times New Roman"/>
                <w:i/>
                <w:color w:val="202122"/>
              </w:rPr>
            </w:pPr>
            <w:r w:rsidRPr="0067008A">
              <w:rPr>
                <w:rFonts w:ascii="Times New Roman" w:hAnsi="Times New Roman" w:cs="Times New Roman"/>
                <w:i/>
                <w:color w:val="202122"/>
              </w:rPr>
              <w:t>1. La Participación en capitales como:</w:t>
            </w:r>
          </w:p>
        </w:tc>
        <w:tc>
          <w:tcPr>
            <w:tcW w:w="2385" w:type="dxa"/>
            <w:tcBorders>
              <w:top w:val="single" w:sz="8" w:space="0" w:color="000000"/>
              <w:left w:val="single" w:sz="6" w:space="0" w:color="000000"/>
              <w:bottom w:val="single" w:sz="8" w:space="0" w:color="000000"/>
              <w:right w:val="single" w:sz="8" w:space="0" w:color="000000"/>
            </w:tcBorders>
            <w:shd w:val="clear" w:color="auto" w:fill="auto"/>
          </w:tcPr>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 </w:t>
            </w:r>
          </w:p>
          <w:tbl>
            <w:tblPr>
              <w:tblW w:w="20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2040"/>
            </w:tblGrid>
            <w:tr w:rsidR="006A4D59" w:rsidRPr="0067008A">
              <w:trPr>
                <w:trHeight w:val="435"/>
              </w:trPr>
              <w:tc>
                <w:tcPr>
                  <w:tcW w:w="2040" w:type="dxa"/>
                  <w:tcBorders>
                    <w:top w:val="single" w:sz="8" w:space="0" w:color="000000"/>
                    <w:left w:val="single" w:sz="8" w:space="0" w:color="000000"/>
                    <w:bottom w:val="single" w:sz="8" w:space="0" w:color="000000"/>
                    <w:right w:val="single" w:sz="8" w:space="0" w:color="000000"/>
                  </w:tcBorders>
                  <w:shd w:val="clear" w:color="auto" w:fill="6D9EEB"/>
                </w:tcPr>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Socios</w:t>
                  </w:r>
                </w:p>
              </w:tc>
            </w:tr>
          </w:tbl>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 </w:t>
            </w:r>
          </w:p>
          <w:tbl>
            <w:tblPr>
              <w:tblW w:w="20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2040"/>
            </w:tblGrid>
            <w:tr w:rsidR="006A4D59" w:rsidRPr="0067008A">
              <w:trPr>
                <w:trHeight w:val="435"/>
              </w:trPr>
              <w:tc>
                <w:tcPr>
                  <w:tcW w:w="2040" w:type="dxa"/>
                  <w:tcBorders>
                    <w:top w:val="single" w:sz="8" w:space="0" w:color="000000"/>
                    <w:left w:val="single" w:sz="8" w:space="0" w:color="000000"/>
                    <w:bottom w:val="single" w:sz="8" w:space="0" w:color="000000"/>
                    <w:right w:val="single" w:sz="8" w:space="0" w:color="000000"/>
                  </w:tcBorders>
                  <w:shd w:val="clear" w:color="auto" w:fill="6D9EEB"/>
                </w:tcPr>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Accionistas</w:t>
                  </w:r>
                </w:p>
              </w:tc>
            </w:tr>
          </w:tbl>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 </w:t>
            </w:r>
          </w:p>
          <w:tbl>
            <w:tblPr>
              <w:tblW w:w="20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2040"/>
            </w:tblGrid>
            <w:tr w:rsidR="006A4D59" w:rsidRPr="0067008A">
              <w:trPr>
                <w:trHeight w:val="435"/>
              </w:trPr>
              <w:tc>
                <w:tcPr>
                  <w:tcW w:w="2040" w:type="dxa"/>
                  <w:tcBorders>
                    <w:top w:val="single" w:sz="8" w:space="0" w:color="000000"/>
                    <w:left w:val="single" w:sz="8" w:space="0" w:color="000000"/>
                    <w:bottom w:val="single" w:sz="8" w:space="0" w:color="000000"/>
                    <w:right w:val="single" w:sz="8" w:space="0" w:color="000000"/>
                  </w:tcBorders>
                  <w:shd w:val="clear" w:color="auto" w:fill="6D9EEB"/>
                </w:tcPr>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Constituyentes</w:t>
                  </w:r>
                </w:p>
              </w:tc>
            </w:tr>
          </w:tbl>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 </w:t>
            </w:r>
          </w:p>
          <w:tbl>
            <w:tblPr>
              <w:tblW w:w="20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2040"/>
            </w:tblGrid>
            <w:tr w:rsidR="006A4D59" w:rsidRPr="0067008A">
              <w:trPr>
                <w:trHeight w:val="435"/>
              </w:trPr>
              <w:tc>
                <w:tcPr>
                  <w:tcW w:w="2040" w:type="dxa"/>
                  <w:tcBorders>
                    <w:top w:val="single" w:sz="8" w:space="0" w:color="000000"/>
                    <w:left w:val="single" w:sz="8" w:space="0" w:color="000000"/>
                    <w:bottom w:val="single" w:sz="8" w:space="0" w:color="000000"/>
                    <w:right w:val="single" w:sz="8" w:space="0" w:color="000000"/>
                  </w:tcBorders>
                  <w:shd w:val="clear" w:color="auto" w:fill="6D9EEB"/>
                </w:tcPr>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Beneficiarios</w:t>
                  </w:r>
                </w:p>
              </w:tc>
            </w:tr>
          </w:tbl>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 </w:t>
            </w:r>
          </w:p>
          <w:tbl>
            <w:tblPr>
              <w:tblW w:w="20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2040"/>
            </w:tblGrid>
            <w:tr w:rsidR="006A4D59" w:rsidRPr="0067008A">
              <w:trPr>
                <w:trHeight w:val="660"/>
              </w:trPr>
              <w:tc>
                <w:tcPr>
                  <w:tcW w:w="2040" w:type="dxa"/>
                  <w:tcBorders>
                    <w:top w:val="single" w:sz="8" w:space="0" w:color="000000"/>
                    <w:left w:val="single" w:sz="8" w:space="0" w:color="000000"/>
                    <w:bottom w:val="single" w:sz="8" w:space="0" w:color="000000"/>
                    <w:right w:val="single" w:sz="8" w:space="0" w:color="000000"/>
                  </w:tcBorders>
                  <w:shd w:val="clear" w:color="auto" w:fill="6D9EEB"/>
                </w:tcPr>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O cualquier otra modalidad</w:t>
                  </w:r>
                </w:p>
              </w:tc>
            </w:tr>
          </w:tbl>
          <w:p w:rsidR="006A4D59" w:rsidRPr="0067008A" w:rsidRDefault="006A4D59" w:rsidP="00677E33">
            <w:pPr>
              <w:spacing w:after="240" w:line="360" w:lineRule="auto"/>
              <w:jc w:val="both"/>
              <w:rPr>
                <w:rFonts w:ascii="Times New Roman" w:hAnsi="Times New Roman" w:cs="Times New Roman"/>
              </w:rPr>
            </w:pPr>
          </w:p>
        </w:tc>
        <w:tc>
          <w:tcPr>
            <w:tcW w:w="2040" w:type="dxa"/>
            <w:tcBorders>
              <w:top w:val="single" w:sz="8" w:space="0" w:color="000000"/>
              <w:left w:val="single" w:sz="6" w:space="0" w:color="000000"/>
              <w:bottom w:val="single" w:sz="8" w:space="0" w:color="000000"/>
              <w:right w:val="single" w:sz="8" w:space="0" w:color="000000"/>
            </w:tcBorders>
            <w:shd w:val="clear" w:color="auto" w:fill="C9DAF8"/>
          </w:tcPr>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 </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 </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 </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 </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 </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 </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 </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Sobre cualquier tipo representativo de capitales, </w:t>
            </w:r>
          </w:p>
        </w:tc>
        <w:tc>
          <w:tcPr>
            <w:tcW w:w="2594" w:type="dxa"/>
            <w:tcBorders>
              <w:top w:val="single" w:sz="8" w:space="0" w:color="000000"/>
              <w:left w:val="single" w:sz="6" w:space="0" w:color="000000"/>
              <w:bottom w:val="single" w:sz="8" w:space="0" w:color="000000"/>
              <w:right w:val="single" w:sz="8" w:space="0" w:color="000000"/>
            </w:tcBorders>
            <w:shd w:val="clear" w:color="auto" w:fill="FFFFFF"/>
          </w:tcPr>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 </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 </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 </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 </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 </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color w:val="202122"/>
              </w:rPr>
              <w:t>En sociedades</w:t>
            </w:r>
            <w:r w:rsidR="00677E33" w:rsidRPr="0067008A">
              <w:rPr>
                <w:rFonts w:ascii="Times New Roman" w:hAnsi="Times New Roman" w:cs="Times New Roman"/>
                <w:color w:val="202122"/>
              </w:rPr>
              <w:t xml:space="preserve"> </w:t>
            </w:r>
            <w:r w:rsidRPr="0067008A">
              <w:rPr>
                <w:rFonts w:ascii="Times New Roman" w:hAnsi="Times New Roman" w:cs="Times New Roman"/>
                <w:color w:val="202122"/>
              </w:rPr>
              <w:t xml:space="preserve">propietarias </w:t>
            </w:r>
            <w:r w:rsidRPr="0067008A">
              <w:rPr>
                <w:rFonts w:ascii="Times New Roman" w:hAnsi="Times New Roman" w:cs="Times New Roman"/>
              </w:rPr>
              <w:t>de capitales en jurisdicciones o regímenes considerados como paraísos fiscales.</w:t>
            </w:r>
          </w:p>
        </w:tc>
      </w:tr>
    </w:tbl>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 </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1621"/>
        <w:gridCol w:w="2445"/>
        <w:gridCol w:w="2505"/>
        <w:gridCol w:w="2429"/>
      </w:tblGrid>
      <w:tr w:rsidR="006A4D59" w:rsidRPr="0067008A">
        <w:trPr>
          <w:trHeight w:val="2940"/>
        </w:trPr>
        <w:tc>
          <w:tcPr>
            <w:tcW w:w="1620" w:type="dxa"/>
            <w:tcBorders>
              <w:top w:val="single" w:sz="8" w:space="0" w:color="000000"/>
              <w:left w:val="single" w:sz="8" w:space="0" w:color="000000"/>
              <w:bottom w:val="single" w:sz="8" w:space="0" w:color="000000"/>
              <w:right w:val="single" w:sz="8" w:space="0" w:color="000000"/>
            </w:tcBorders>
            <w:shd w:val="clear" w:color="auto" w:fill="C9DAF8"/>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2. Inversiones en</w:t>
            </w:r>
          </w:p>
        </w:tc>
        <w:tc>
          <w:tcPr>
            <w:tcW w:w="2445" w:type="dxa"/>
            <w:tcBorders>
              <w:top w:val="single" w:sz="8" w:space="0" w:color="000000"/>
              <w:left w:val="single" w:sz="6" w:space="0" w:color="000000"/>
              <w:bottom w:val="single" w:sz="8" w:space="0" w:color="000000"/>
              <w:right w:val="single" w:sz="8" w:space="0" w:color="000000"/>
            </w:tcBorders>
            <w:shd w:val="clear" w:color="auto" w:fill="auto"/>
          </w:tcPr>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 </w:t>
            </w:r>
          </w:p>
          <w:tbl>
            <w:tblPr>
              <w:tblW w:w="2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2100"/>
            </w:tblGrid>
            <w:tr w:rsidR="006A4D59" w:rsidRPr="0067008A">
              <w:trPr>
                <w:trHeight w:val="435"/>
              </w:trPr>
              <w:tc>
                <w:tcPr>
                  <w:tcW w:w="2100" w:type="dxa"/>
                  <w:tcBorders>
                    <w:top w:val="single" w:sz="8" w:space="0" w:color="000000"/>
                    <w:left w:val="single" w:sz="8" w:space="0" w:color="000000"/>
                    <w:bottom w:val="single" w:sz="8" w:space="0" w:color="000000"/>
                    <w:right w:val="single" w:sz="8" w:space="0" w:color="000000"/>
                  </w:tcBorders>
                  <w:shd w:val="clear" w:color="auto" w:fill="6D9EEB"/>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fondos de ahorros</w:t>
                  </w:r>
                </w:p>
              </w:tc>
            </w:tr>
          </w:tbl>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 </w:t>
            </w:r>
          </w:p>
          <w:tbl>
            <w:tblPr>
              <w:tblW w:w="2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2100"/>
            </w:tblGrid>
            <w:tr w:rsidR="006A4D59" w:rsidRPr="0067008A">
              <w:trPr>
                <w:trHeight w:val="435"/>
              </w:trPr>
              <w:tc>
                <w:tcPr>
                  <w:tcW w:w="2100" w:type="dxa"/>
                  <w:tcBorders>
                    <w:top w:val="single" w:sz="8" w:space="0" w:color="000000"/>
                    <w:left w:val="single" w:sz="8" w:space="0" w:color="000000"/>
                    <w:bottom w:val="single" w:sz="8" w:space="0" w:color="000000"/>
                    <w:right w:val="single" w:sz="8" w:space="0" w:color="000000"/>
                  </w:tcBorders>
                  <w:shd w:val="clear" w:color="auto" w:fill="6D9EEB"/>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fondos de jubilación</w:t>
                  </w:r>
                </w:p>
              </w:tc>
            </w:tr>
          </w:tbl>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 </w:t>
            </w:r>
          </w:p>
          <w:tbl>
            <w:tblPr>
              <w:tblW w:w="2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2100"/>
            </w:tblGrid>
            <w:tr w:rsidR="006A4D59" w:rsidRPr="0067008A">
              <w:trPr>
                <w:trHeight w:val="435"/>
              </w:trPr>
              <w:tc>
                <w:tcPr>
                  <w:tcW w:w="2100" w:type="dxa"/>
                  <w:tcBorders>
                    <w:top w:val="single" w:sz="8" w:space="0" w:color="000000"/>
                    <w:left w:val="single" w:sz="8" w:space="0" w:color="000000"/>
                    <w:bottom w:val="single" w:sz="8" w:space="0" w:color="000000"/>
                    <w:right w:val="single" w:sz="8" w:space="0" w:color="000000"/>
                  </w:tcBorders>
                  <w:shd w:val="clear" w:color="auto" w:fill="6D9EEB"/>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seguros de vida </w:t>
                  </w:r>
                </w:p>
              </w:tc>
            </w:tr>
          </w:tbl>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 </w:t>
            </w:r>
          </w:p>
          <w:tbl>
            <w:tblPr>
              <w:tblW w:w="2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2100"/>
            </w:tblGrid>
            <w:tr w:rsidR="006A4D59" w:rsidRPr="0067008A">
              <w:trPr>
                <w:trHeight w:val="435"/>
              </w:trPr>
              <w:tc>
                <w:tcPr>
                  <w:tcW w:w="2100" w:type="dxa"/>
                  <w:tcBorders>
                    <w:top w:val="single" w:sz="8" w:space="0" w:color="000000"/>
                    <w:left w:val="single" w:sz="8" w:space="0" w:color="000000"/>
                    <w:bottom w:val="single" w:sz="8" w:space="0" w:color="000000"/>
                    <w:right w:val="single" w:sz="8" w:space="0" w:color="000000"/>
                  </w:tcBorders>
                  <w:shd w:val="clear" w:color="auto" w:fill="6D9EEB"/>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seguros de salud</w:t>
                  </w:r>
                </w:p>
              </w:tc>
            </w:tr>
          </w:tbl>
          <w:p w:rsidR="006A4D59" w:rsidRPr="0067008A" w:rsidRDefault="006A4D59" w:rsidP="00677E33">
            <w:pPr>
              <w:spacing w:after="240" w:line="360" w:lineRule="auto"/>
              <w:jc w:val="both"/>
              <w:rPr>
                <w:rFonts w:ascii="Times New Roman" w:hAnsi="Times New Roman" w:cs="Times New Roman"/>
              </w:rPr>
            </w:pPr>
          </w:p>
        </w:tc>
        <w:tc>
          <w:tcPr>
            <w:tcW w:w="2505" w:type="dxa"/>
            <w:tcBorders>
              <w:top w:val="single" w:sz="8" w:space="0" w:color="000000"/>
              <w:left w:val="single" w:sz="6" w:space="0" w:color="000000"/>
              <w:bottom w:val="single" w:sz="8" w:space="0" w:color="000000"/>
              <w:right w:val="single" w:sz="8" w:space="0" w:color="000000"/>
            </w:tcBorders>
            <w:shd w:val="clear" w:color="auto" w:fill="C9DAF8"/>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En empresas no domiciliadas en paraísos fiscales</w:t>
            </w:r>
          </w:p>
        </w:tc>
        <w:tc>
          <w:tcPr>
            <w:tcW w:w="2429" w:type="dxa"/>
            <w:tcBorders>
              <w:top w:val="single" w:sz="8" w:space="0" w:color="000000"/>
              <w:left w:val="single" w:sz="6" w:space="0" w:color="000000"/>
              <w:bottom w:val="single" w:sz="8" w:space="0" w:color="000000"/>
              <w:right w:val="single" w:sz="8" w:space="0" w:color="000000"/>
            </w:tcBorders>
            <w:shd w:val="clear" w:color="auto" w:fill="auto"/>
          </w:tcPr>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 </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 </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color w:val="202122"/>
              </w:rPr>
              <w:t>Cuando estas</w:t>
            </w:r>
            <w:r w:rsidR="00677E33" w:rsidRPr="0067008A">
              <w:rPr>
                <w:rFonts w:ascii="Times New Roman" w:hAnsi="Times New Roman" w:cs="Times New Roman"/>
                <w:color w:val="202122"/>
              </w:rPr>
              <w:t xml:space="preserve"> </w:t>
            </w:r>
            <w:r w:rsidRPr="0067008A">
              <w:rPr>
                <w:rFonts w:ascii="Times New Roman" w:hAnsi="Times New Roman" w:cs="Times New Roman"/>
              </w:rPr>
              <w:t>inversiones obedecen a tramas de evasión, debidamente comprobadas..</w:t>
            </w:r>
          </w:p>
        </w:tc>
      </w:tr>
    </w:tbl>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 </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1830"/>
        <w:gridCol w:w="2221"/>
        <w:gridCol w:w="2115"/>
        <w:gridCol w:w="2834"/>
      </w:tblGrid>
      <w:tr w:rsidR="006A4D59" w:rsidRPr="0067008A">
        <w:trPr>
          <w:trHeight w:val="1335"/>
        </w:trPr>
        <w:tc>
          <w:tcPr>
            <w:tcW w:w="1829" w:type="dxa"/>
            <w:tcBorders>
              <w:top w:val="single" w:sz="8" w:space="0" w:color="000000"/>
              <w:left w:val="single" w:sz="8" w:space="0" w:color="000000"/>
              <w:bottom w:val="single" w:sz="8" w:space="0" w:color="000000"/>
              <w:right w:val="single" w:sz="8" w:space="0" w:color="000000"/>
            </w:tcBorders>
            <w:shd w:val="clear" w:color="auto" w:fill="C9DAF8"/>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3. Inversiones en</w:t>
            </w:r>
          </w:p>
        </w:tc>
        <w:tc>
          <w:tcPr>
            <w:tcW w:w="2221" w:type="dxa"/>
            <w:tcBorders>
              <w:top w:val="single" w:sz="8" w:space="0" w:color="000000"/>
              <w:left w:val="single" w:sz="6" w:space="0" w:color="000000"/>
              <w:bottom w:val="single" w:sz="8" w:space="0" w:color="000000"/>
              <w:right w:val="single" w:sz="8" w:space="0" w:color="000000"/>
            </w:tcBorders>
            <w:shd w:val="clear" w:color="auto" w:fill="6D9EEB"/>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acciones de compañías de capital abierto </w:t>
            </w:r>
          </w:p>
        </w:tc>
        <w:tc>
          <w:tcPr>
            <w:tcW w:w="2115" w:type="dxa"/>
            <w:tcBorders>
              <w:top w:val="single" w:sz="8" w:space="0" w:color="000000"/>
              <w:left w:val="single" w:sz="6" w:space="0" w:color="000000"/>
              <w:bottom w:val="single" w:sz="8" w:space="0" w:color="000000"/>
              <w:right w:val="single" w:sz="8" w:space="0" w:color="000000"/>
            </w:tcBorders>
            <w:shd w:val="clear" w:color="auto" w:fill="C9DAF8"/>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domiciliadas en Ecuador o en jurisdicciones que nosean paraísos fiscales</w:t>
            </w:r>
          </w:p>
        </w:tc>
        <w:tc>
          <w:tcPr>
            <w:tcW w:w="2834" w:type="dxa"/>
            <w:tcBorders>
              <w:top w:val="single" w:sz="8" w:space="0" w:color="000000"/>
              <w:left w:val="single" w:sz="6" w:space="0" w:color="000000"/>
              <w:bottom w:val="single" w:sz="8" w:space="0" w:color="000000"/>
              <w:right w:val="single" w:sz="8" w:space="0" w:color="000000"/>
            </w:tcBorders>
            <w:shd w:val="clear" w:color="auto" w:fill="auto"/>
          </w:tcPr>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Cuando sean accionistas mayoritarios</w:t>
            </w:r>
          </w:p>
        </w:tc>
      </w:tr>
    </w:tbl>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 </w:t>
      </w:r>
    </w:p>
    <w:tbl>
      <w:tblPr>
        <w:tblW w:w="8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1876"/>
        <w:gridCol w:w="2384"/>
        <w:gridCol w:w="2086"/>
        <w:gridCol w:w="2639"/>
      </w:tblGrid>
      <w:tr w:rsidR="006A4D59" w:rsidRPr="0067008A">
        <w:trPr>
          <w:trHeight w:val="3165"/>
        </w:trPr>
        <w:tc>
          <w:tcPr>
            <w:tcW w:w="1875" w:type="dxa"/>
            <w:tcBorders>
              <w:top w:val="single" w:sz="8" w:space="0" w:color="000000"/>
              <w:left w:val="single" w:sz="8" w:space="0" w:color="000000"/>
              <w:bottom w:val="single" w:sz="8" w:space="0" w:color="000000"/>
              <w:right w:val="single" w:sz="8" w:space="0" w:color="000000"/>
            </w:tcBorders>
            <w:shd w:val="clear" w:color="auto" w:fill="C9DAF8"/>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4. La propiedad de bienes a través de sociedades como:</w:t>
            </w:r>
          </w:p>
        </w:tc>
        <w:tc>
          <w:tcPr>
            <w:tcW w:w="2384" w:type="dxa"/>
            <w:tcBorders>
              <w:top w:val="single" w:sz="8" w:space="0" w:color="000000"/>
              <w:left w:val="single" w:sz="6" w:space="0" w:color="000000"/>
              <w:bottom w:val="single" w:sz="8" w:space="0" w:color="000000"/>
              <w:right w:val="single" w:sz="8" w:space="0" w:color="000000"/>
            </w:tcBorders>
            <w:shd w:val="clear" w:color="auto" w:fill="auto"/>
          </w:tcPr>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 </w:t>
            </w:r>
          </w:p>
          <w:tbl>
            <w:tblPr>
              <w:tblW w:w="2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2025"/>
            </w:tblGrid>
            <w:tr w:rsidR="006A4D59" w:rsidRPr="0067008A">
              <w:trPr>
                <w:trHeight w:val="435"/>
              </w:trPr>
              <w:tc>
                <w:tcPr>
                  <w:tcW w:w="2025" w:type="dxa"/>
                  <w:tcBorders>
                    <w:top w:val="single" w:sz="8" w:space="0" w:color="000000"/>
                    <w:left w:val="single" w:sz="8" w:space="0" w:color="000000"/>
                    <w:bottom w:val="single" w:sz="8" w:space="0" w:color="000000"/>
                    <w:right w:val="single" w:sz="8" w:space="0" w:color="000000"/>
                  </w:tcBorders>
                  <w:shd w:val="clear" w:color="auto" w:fill="6D9EEB"/>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socios, </w:t>
                  </w:r>
                </w:p>
              </w:tc>
            </w:tr>
          </w:tbl>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 </w:t>
            </w:r>
          </w:p>
          <w:tbl>
            <w:tblPr>
              <w:tblW w:w="2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2025"/>
            </w:tblGrid>
            <w:tr w:rsidR="006A4D59" w:rsidRPr="0067008A">
              <w:trPr>
                <w:trHeight w:val="435"/>
              </w:trPr>
              <w:tc>
                <w:tcPr>
                  <w:tcW w:w="2025" w:type="dxa"/>
                  <w:tcBorders>
                    <w:top w:val="single" w:sz="8" w:space="0" w:color="000000"/>
                    <w:left w:val="single" w:sz="8" w:space="0" w:color="000000"/>
                    <w:bottom w:val="single" w:sz="8" w:space="0" w:color="000000"/>
                    <w:right w:val="single" w:sz="8" w:space="0" w:color="000000"/>
                  </w:tcBorders>
                  <w:shd w:val="clear" w:color="auto" w:fill="6D9EEB"/>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accionistas, </w:t>
                  </w:r>
                </w:p>
              </w:tc>
            </w:tr>
          </w:tbl>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 </w:t>
            </w:r>
          </w:p>
          <w:tbl>
            <w:tblPr>
              <w:tblW w:w="2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2025"/>
            </w:tblGrid>
            <w:tr w:rsidR="006A4D59" w:rsidRPr="0067008A">
              <w:trPr>
                <w:trHeight w:val="435"/>
              </w:trPr>
              <w:tc>
                <w:tcPr>
                  <w:tcW w:w="2025" w:type="dxa"/>
                  <w:tcBorders>
                    <w:top w:val="single" w:sz="8" w:space="0" w:color="000000"/>
                    <w:left w:val="single" w:sz="8" w:space="0" w:color="000000"/>
                    <w:bottom w:val="single" w:sz="8" w:space="0" w:color="000000"/>
                    <w:right w:val="single" w:sz="8" w:space="0" w:color="000000"/>
                  </w:tcBorders>
                  <w:shd w:val="clear" w:color="auto" w:fill="6D9EEB"/>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constituyentes</w:t>
                  </w:r>
                  <w:r w:rsidR="00677E33" w:rsidRPr="0067008A">
                    <w:rPr>
                      <w:rFonts w:ascii="Times New Roman" w:hAnsi="Times New Roman" w:cs="Times New Roman"/>
                    </w:rPr>
                    <w:t xml:space="preserve"> </w:t>
                  </w:r>
                </w:p>
              </w:tc>
            </w:tr>
          </w:tbl>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 </w:t>
            </w:r>
          </w:p>
          <w:tbl>
            <w:tblPr>
              <w:tblW w:w="2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2025"/>
            </w:tblGrid>
            <w:tr w:rsidR="006A4D59" w:rsidRPr="0067008A">
              <w:trPr>
                <w:trHeight w:val="660"/>
              </w:trPr>
              <w:tc>
                <w:tcPr>
                  <w:tcW w:w="2025" w:type="dxa"/>
                  <w:tcBorders>
                    <w:top w:val="single" w:sz="8" w:space="0" w:color="000000"/>
                    <w:left w:val="single" w:sz="8" w:space="0" w:color="000000"/>
                    <w:bottom w:val="single" w:sz="8" w:space="0" w:color="000000"/>
                    <w:right w:val="single" w:sz="8" w:space="0" w:color="000000"/>
                  </w:tcBorders>
                  <w:shd w:val="clear" w:color="auto" w:fill="6D9EEB"/>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beneficiarios bajo cualquier modalidad</w:t>
                  </w:r>
                </w:p>
              </w:tc>
            </w:tr>
          </w:tbl>
          <w:p w:rsidR="006A4D59" w:rsidRPr="0067008A" w:rsidRDefault="006A4D59" w:rsidP="00677E33">
            <w:pPr>
              <w:spacing w:after="240" w:line="360" w:lineRule="auto"/>
              <w:jc w:val="both"/>
              <w:rPr>
                <w:rFonts w:ascii="Times New Roman" w:hAnsi="Times New Roman" w:cs="Times New Roman"/>
              </w:rPr>
            </w:pPr>
          </w:p>
        </w:tc>
        <w:tc>
          <w:tcPr>
            <w:tcW w:w="2086" w:type="dxa"/>
            <w:tcBorders>
              <w:top w:val="single" w:sz="8" w:space="0" w:color="000000"/>
              <w:left w:val="single" w:sz="6" w:space="0" w:color="000000"/>
              <w:bottom w:val="single" w:sz="8" w:space="0" w:color="000000"/>
              <w:right w:val="single" w:sz="8" w:space="0" w:color="000000"/>
            </w:tcBorders>
            <w:shd w:val="clear" w:color="auto" w:fill="C9DAF8"/>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de las sociedades</w:t>
            </w:r>
            <w:r w:rsidR="00677E33" w:rsidRPr="0067008A">
              <w:rPr>
                <w:rFonts w:ascii="Times New Roman" w:hAnsi="Times New Roman" w:cs="Times New Roman"/>
              </w:rPr>
              <w:t xml:space="preserve"> </w:t>
            </w:r>
            <w:r w:rsidRPr="0067008A">
              <w:rPr>
                <w:rFonts w:ascii="Times New Roman" w:hAnsi="Times New Roman" w:cs="Times New Roman"/>
              </w:rPr>
              <w:t>que funjan como propietarias</w:t>
            </w:r>
          </w:p>
        </w:tc>
        <w:tc>
          <w:tcPr>
            <w:tcW w:w="2639" w:type="dxa"/>
            <w:tcBorders>
              <w:top w:val="single" w:sz="8" w:space="0" w:color="000000"/>
              <w:left w:val="single" w:sz="6" w:space="0" w:color="000000"/>
              <w:bottom w:val="single" w:sz="8" w:space="0" w:color="000000"/>
              <w:right w:val="single" w:sz="8" w:space="0" w:color="000000"/>
            </w:tcBorders>
            <w:shd w:val="clear" w:color="auto" w:fill="auto"/>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en jurisdicciones o regímenes considerados como paraísos fiscales. </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 </w:t>
            </w:r>
          </w:p>
        </w:tc>
      </w:tr>
    </w:tbl>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 </w:t>
      </w:r>
    </w:p>
    <w:tbl>
      <w:tblPr>
        <w:tblW w:w="8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1770"/>
        <w:gridCol w:w="7215"/>
      </w:tblGrid>
      <w:tr w:rsidR="006A4D59" w:rsidRPr="0067008A">
        <w:trPr>
          <w:trHeight w:val="1110"/>
        </w:trPr>
        <w:tc>
          <w:tcPr>
            <w:tcW w:w="1770" w:type="dxa"/>
            <w:tcBorders>
              <w:top w:val="single" w:sz="8" w:space="0" w:color="000000"/>
              <w:left w:val="single" w:sz="8" w:space="0" w:color="000000"/>
              <w:bottom w:val="single" w:sz="8" w:space="0" w:color="000000"/>
              <w:right w:val="single" w:sz="8" w:space="0" w:color="000000"/>
            </w:tcBorders>
            <w:shd w:val="clear" w:color="auto" w:fill="B6D7A8"/>
          </w:tcPr>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IMPORTANTE (1)</w:t>
            </w:r>
          </w:p>
        </w:tc>
        <w:tc>
          <w:tcPr>
            <w:tcW w:w="7214" w:type="dxa"/>
            <w:tcBorders>
              <w:top w:val="single" w:sz="8" w:space="0" w:color="000000"/>
              <w:left w:val="single" w:sz="6" w:space="0" w:color="000000"/>
              <w:bottom w:val="single" w:sz="8" w:space="0" w:color="000000"/>
              <w:right w:val="single" w:sz="8" w:space="0" w:color="000000"/>
            </w:tcBorders>
            <w:shd w:val="clear" w:color="auto" w:fill="D9EAD3"/>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LA REFERENCIA DE PROPIETARIO INDIRECTO APLICA AL:</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sujeto obligado sea quien tenga legal, económicamente o de hecho el poder de controlar la propiedad en cuestión; así como de utilizar, disfrutar, beneficiarse o disponer de la misma.</w:t>
            </w:r>
          </w:p>
        </w:tc>
      </w:tr>
    </w:tbl>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 </w:t>
      </w:r>
    </w:p>
    <w:tbl>
      <w:tblPr>
        <w:tblW w:w="8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1785"/>
        <w:gridCol w:w="7200"/>
      </w:tblGrid>
      <w:tr w:rsidR="006A4D59" w:rsidRPr="0067008A">
        <w:trPr>
          <w:trHeight w:val="1560"/>
        </w:trPr>
        <w:tc>
          <w:tcPr>
            <w:tcW w:w="1785" w:type="dxa"/>
            <w:tcBorders>
              <w:top w:val="single" w:sz="8" w:space="0" w:color="000000"/>
              <w:left w:val="single" w:sz="8" w:space="0" w:color="000000"/>
              <w:bottom w:val="single" w:sz="8" w:space="0" w:color="000000"/>
              <w:right w:val="single" w:sz="8" w:space="0" w:color="000000"/>
            </w:tcBorders>
            <w:shd w:val="clear" w:color="auto" w:fill="B6D7A8"/>
          </w:tcPr>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IMPORTANTE (2) </w:t>
            </w:r>
          </w:p>
        </w:tc>
        <w:tc>
          <w:tcPr>
            <w:tcW w:w="7199" w:type="dxa"/>
            <w:tcBorders>
              <w:top w:val="single" w:sz="8" w:space="0" w:color="000000"/>
              <w:left w:val="single" w:sz="6" w:space="0" w:color="000000"/>
              <w:bottom w:val="single" w:sz="8" w:space="0" w:color="000000"/>
              <w:right w:val="single" w:sz="8" w:space="0" w:color="000000"/>
            </w:tcBorders>
            <w:shd w:val="clear" w:color="auto" w:fill="D9EAD3"/>
          </w:tcPr>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SE PRESUME LA PROPIEDAD DE BIENES Y CAPITALES:</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en aquellos casos en los que el cónyuge, persona con quien mantenga unión de hecho o hijos no emancipados de la persona obligada, sean propietarios de bienes o capitales en jurisdicciones o regímenes considerados como paraísos fiscales.</w:t>
            </w:r>
          </w:p>
        </w:tc>
      </w:tr>
    </w:tbl>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 </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En consecuencia, se establecen cuatro formas por las cuales las personas pueden ser consideradas propietarias “</w:t>
      </w:r>
      <w:r w:rsidRPr="0067008A">
        <w:rPr>
          <w:rFonts w:ascii="Times New Roman" w:hAnsi="Times New Roman" w:cs="Times New Roman"/>
          <w:i/>
          <w:color w:val="202122"/>
        </w:rPr>
        <w:t>indirectas</w:t>
      </w:r>
      <w:r w:rsidRPr="0067008A">
        <w:rPr>
          <w:rFonts w:ascii="Times New Roman" w:hAnsi="Times New Roman" w:cs="Times New Roman"/>
          <w:color w:val="202122"/>
        </w:rPr>
        <w:t xml:space="preserve">” de capitales y de bienes, que para efectos legales, son consideradas “propietarias”, con todas las prerrogativas, alcances y prohibiciones que este supuesto conlleva para la aplicación de la ley. </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A este reconocimiento de propiedad indirecta,</w:t>
      </w:r>
      <w:r w:rsidR="00677E33" w:rsidRPr="0067008A">
        <w:rPr>
          <w:rFonts w:ascii="Times New Roman" w:hAnsi="Times New Roman" w:cs="Times New Roman"/>
          <w:color w:val="202122"/>
        </w:rPr>
        <w:t xml:space="preserve"> </w:t>
      </w:r>
      <w:r w:rsidRPr="0067008A">
        <w:rPr>
          <w:rFonts w:ascii="Times New Roman" w:hAnsi="Times New Roman" w:cs="Times New Roman"/>
          <w:color w:val="202122"/>
        </w:rPr>
        <w:t>se suman dos supuestos adicionales:</w:t>
      </w:r>
    </w:p>
    <w:p w:rsidR="006A4D59" w:rsidRPr="0067008A" w:rsidRDefault="00921711" w:rsidP="002E7BE5">
      <w:pPr>
        <w:numPr>
          <w:ilvl w:val="0"/>
          <w:numId w:val="16"/>
        </w:num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Se considerarán propietarios indirectos, las personas que tengan el “</w:t>
      </w:r>
      <w:r w:rsidRPr="0067008A">
        <w:rPr>
          <w:rFonts w:ascii="Times New Roman" w:hAnsi="Times New Roman" w:cs="Times New Roman"/>
          <w:i/>
          <w:color w:val="202122"/>
        </w:rPr>
        <w:t>control de la propiedad</w:t>
      </w:r>
      <w:r w:rsidRPr="0067008A">
        <w:rPr>
          <w:rFonts w:ascii="Times New Roman" w:hAnsi="Times New Roman" w:cs="Times New Roman"/>
          <w:color w:val="202122"/>
        </w:rPr>
        <w:t xml:space="preserve">”, demostrable de cuatro maneras: </w:t>
      </w:r>
    </w:p>
    <w:p w:rsidR="006A4D59" w:rsidRPr="0067008A" w:rsidRDefault="00921711" w:rsidP="00677E33">
      <w:pPr>
        <w:numPr>
          <w:ilvl w:val="1"/>
          <w:numId w:val="9"/>
        </w:num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Por medios legales.</w:t>
      </w:r>
    </w:p>
    <w:p w:rsidR="006A4D59" w:rsidRPr="0067008A" w:rsidRDefault="00921711" w:rsidP="00677E33">
      <w:pPr>
        <w:numPr>
          <w:ilvl w:val="1"/>
          <w:numId w:val="9"/>
        </w:num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Por el manejo económico, (principio de realidad económica).</w:t>
      </w:r>
    </w:p>
    <w:p w:rsidR="006A4D59" w:rsidRPr="0067008A" w:rsidRDefault="00921711" w:rsidP="00677E33">
      <w:pPr>
        <w:numPr>
          <w:ilvl w:val="1"/>
          <w:numId w:val="9"/>
        </w:num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Por actos y acciones de hecho, (principio de realidad económica), y,</w:t>
      </w:r>
    </w:p>
    <w:p w:rsidR="006A4D59" w:rsidRPr="0067008A" w:rsidRDefault="00921711" w:rsidP="00677E33">
      <w:pPr>
        <w:numPr>
          <w:ilvl w:val="1"/>
          <w:numId w:val="9"/>
        </w:num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Por utilizar, disfrutar, beneficiarse o disponer de la propiedad (principio de realidad económica).</w:t>
      </w:r>
    </w:p>
    <w:p w:rsidR="006A4D59" w:rsidRPr="0067008A" w:rsidRDefault="00921711" w:rsidP="00677E33">
      <w:pPr>
        <w:spacing w:after="240" w:line="360" w:lineRule="auto"/>
        <w:ind w:left="1440"/>
        <w:jc w:val="both"/>
        <w:rPr>
          <w:rFonts w:ascii="Times New Roman" w:hAnsi="Times New Roman" w:cs="Times New Roman"/>
        </w:rPr>
      </w:pPr>
      <w:r w:rsidRPr="0067008A">
        <w:rPr>
          <w:rFonts w:ascii="Times New Roman" w:hAnsi="Times New Roman" w:cs="Times New Roman"/>
        </w:rPr>
        <w:t xml:space="preserve"> </w:t>
      </w:r>
    </w:p>
    <w:p w:rsidR="006A4D59" w:rsidRPr="0067008A" w:rsidRDefault="00921711" w:rsidP="002E7BE5">
      <w:pPr>
        <w:numPr>
          <w:ilvl w:val="0"/>
          <w:numId w:val="17"/>
        </w:numPr>
        <w:spacing w:after="240" w:line="360" w:lineRule="auto"/>
        <w:jc w:val="both"/>
        <w:rPr>
          <w:rFonts w:ascii="Times New Roman" w:hAnsi="Times New Roman" w:cs="Times New Roman"/>
        </w:rPr>
      </w:pPr>
      <w:r w:rsidRPr="0067008A">
        <w:rPr>
          <w:rFonts w:ascii="Times New Roman" w:hAnsi="Times New Roman" w:cs="Times New Roman"/>
        </w:rPr>
        <w:t>Se considerarán propietarios indirectos, las personas cuyo cónyuge, o con quien tenga unión de hecho o sus hijos no emancipados, tengan la propiedad de bienes y capitales en jurisdicciones o regímenes considerados como paraísos fiscales.</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rPr>
        <w:t xml:space="preserve">Por lo mencionado, los propietarios indirectos que tengan el control de la propiedad por el manejo económico que realicen sobre ésta, por los actos y acciones de hecho que ejecuten en relación a la propiedad o por el uso, disfrute, beneficio o disposición que hagan de la propiedad, están prohibidos de ejercer cargos públicos o ser candidatos de elección popular conforme lo dispone la Ley </w:t>
      </w:r>
      <w:r w:rsidRPr="0067008A">
        <w:rPr>
          <w:rFonts w:ascii="Times New Roman" w:hAnsi="Times New Roman" w:cs="Times New Roman"/>
          <w:color w:val="202122"/>
        </w:rPr>
        <w:t xml:space="preserve">Orgánica para la Aplicación de la Consulta Popular Efectuada el 19 de febrero de 2017. </w:t>
      </w:r>
      <w:r w:rsidRPr="0067008A">
        <w:rPr>
          <w:rFonts w:ascii="Times New Roman" w:hAnsi="Times New Roman" w:cs="Times New Roman"/>
        </w:rPr>
        <w:t>Adicionalmente, como normas supletorias, según la Ley Orgánica de Regulación y Control de Poder de Mercado (Artículo 14 literal c), la Ley Orgánica de Régimen Tributario Interno (Artículos 10 numeral 2; 13 numeral 9 literal a); , el Código Orgánico Monetario y Financiero (Artículos 169, 216, 256, 419) y la Ley de Compañías, la propiedad indirecta incluye a familiares cercanos.</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Los supuestos mencionados se enmarcan en el denominado “</w:t>
      </w:r>
      <w:r w:rsidRPr="0067008A">
        <w:rPr>
          <w:rFonts w:ascii="Times New Roman" w:hAnsi="Times New Roman" w:cs="Times New Roman"/>
          <w:i/>
          <w:color w:val="202122"/>
        </w:rPr>
        <w:t>principio de realidad económica</w:t>
      </w:r>
      <w:r w:rsidRPr="0067008A">
        <w:rPr>
          <w:rFonts w:ascii="Times New Roman" w:hAnsi="Times New Roman" w:cs="Times New Roman"/>
          <w:color w:val="202122"/>
        </w:rPr>
        <w:t xml:space="preserve">”, el mismo que fue analizado y desarrollado por la Corte Constitucional, en la sentencia Nro. 47-15-IN-21 del 10 de marzo del 2021 que señala lo siguiente: </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En tal sentido, en los casos de empresas inexistentes, fantasmas y de papel y de las partes relacionadas, la legislación tributaria ecuatoriana, en el marco del artículo 17 del Código Tributario, considera que los entes participantes en una relación jurídica carecen de autonomía contractual, sea porque son una de las partes, son un vehículo instrumental o porque se encuentran dentro de las operaciones del mismo grupo económico.</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color w:val="202122"/>
        </w:rPr>
        <w:t>En el segundo supuesto, la evidencia de la condición de “</w:t>
      </w:r>
      <w:r w:rsidRPr="0067008A">
        <w:rPr>
          <w:rFonts w:ascii="Times New Roman" w:hAnsi="Times New Roman" w:cs="Times New Roman"/>
          <w:i/>
          <w:color w:val="202122"/>
        </w:rPr>
        <w:t>propietario indirecto</w:t>
      </w:r>
      <w:r w:rsidRPr="0067008A">
        <w:rPr>
          <w:rFonts w:ascii="Times New Roman" w:hAnsi="Times New Roman" w:cs="Times New Roman"/>
          <w:color w:val="202122"/>
        </w:rPr>
        <w:t xml:space="preserve">” es fáctica y jurídicamente demostrable, puesto que el o la cónyuge, la persona con la que se tenga unión de hecho o los hijos no emancipados, formalmente son propietarios de bienes y capitales en </w:t>
      </w:r>
      <w:r w:rsidRPr="0067008A">
        <w:rPr>
          <w:rFonts w:ascii="Times New Roman" w:hAnsi="Times New Roman" w:cs="Times New Roman"/>
        </w:rPr>
        <w:t>jurisdicciones o regímenes considerados como paraísos fiscales.</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Finalmente, un supuesto que puede esconder tras de sí la “</w:t>
      </w:r>
      <w:r w:rsidRPr="0067008A">
        <w:rPr>
          <w:rFonts w:ascii="Times New Roman" w:hAnsi="Times New Roman" w:cs="Times New Roman"/>
          <w:i/>
        </w:rPr>
        <w:t>propiedad indirecta</w:t>
      </w:r>
      <w:r w:rsidRPr="0067008A">
        <w:rPr>
          <w:rFonts w:ascii="Times New Roman" w:hAnsi="Times New Roman" w:cs="Times New Roman"/>
        </w:rPr>
        <w:t>” de bienes y capitales en las jurisdicciones o regímenes mencionados, está relacionado con la “</w:t>
      </w:r>
      <w:r w:rsidRPr="0067008A">
        <w:rPr>
          <w:rFonts w:ascii="Times New Roman" w:hAnsi="Times New Roman" w:cs="Times New Roman"/>
          <w:i/>
        </w:rPr>
        <w:t>simulación</w:t>
      </w:r>
      <w:r w:rsidRPr="0067008A">
        <w:rPr>
          <w:rFonts w:ascii="Times New Roman" w:hAnsi="Times New Roman" w:cs="Times New Roman"/>
        </w:rPr>
        <w:t>” de los actos jurídicos que dan lugar a la transferencia “formal” de la propiedad.</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El término simulación es definido por la Real Academia Española como la “acción y efecto de simular”, siendo a su vez la definición del verbo anterior “Representar algo, fingiendo o imitando lo que no es”. Ambas palabras provienen del latín Similis, que significa parecido, y evolucionan, respectivamente, en simulatio y simulare, cuyo significado es el de fingir, hacer aparecer una cosa distinta de la realidad.</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 </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En el ámbito de los actos o negocios jurídicos la simulación aparece con gran frecuencia y es muy recurrente. La propia Real Academia da una acepción de esta palabra relacionada con el mundo del Derecho: “Alteración aparente de la causa, la índole o el objeto verdadero de un acto o contrato”.</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La simulación supone una contradicción entre la voluntad interna de una persona y la voluntad declarada y los actos llevados a cabo por ella, lo que constituye un negocio o acto jurídico calificado como aparente. Ello tiene lugar cuando ambas partes, de común acuerdo, con la finalidad de engañar a un tercero, llevan a cabo un acto o negocio jurídico, que nada tiene que ver con la realidad que efectivamente desempeñan; o incluso lo ocultan bajo una apariencia. Pueden darse dos posibilidades, la primera de ellas consiste en dar a entender una situación completamente falsa e inexistente. La segunda posibilidad es la idea de esconder o camuflar la situación real, bajo otra que es la situación simulada y que no se quiere llevar a cabo. Tiene lugar un acuerdo simulatorio entre ambas partes, con dos declaraciones diferentes: una interna, que se mantiene en secreto entre los contratantes, ya que es la voluntad real y no quieren que salga a la luz; y otra externa, en la que dan publicidad a la situación simulada o aparente.</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Por lo mencionado, tanto el “</w:t>
      </w:r>
      <w:r w:rsidRPr="0067008A">
        <w:rPr>
          <w:rFonts w:ascii="Times New Roman" w:hAnsi="Times New Roman" w:cs="Times New Roman"/>
          <w:i/>
          <w:color w:val="202122"/>
        </w:rPr>
        <w:t>principio de realidad económica</w:t>
      </w:r>
      <w:r w:rsidRPr="0067008A">
        <w:rPr>
          <w:rFonts w:ascii="Times New Roman" w:hAnsi="Times New Roman" w:cs="Times New Roman"/>
          <w:color w:val="202122"/>
        </w:rPr>
        <w:t>” como la “</w:t>
      </w:r>
      <w:r w:rsidRPr="0067008A">
        <w:rPr>
          <w:rFonts w:ascii="Times New Roman" w:hAnsi="Times New Roman" w:cs="Times New Roman"/>
          <w:i/>
          <w:color w:val="202122"/>
        </w:rPr>
        <w:t>simulación</w:t>
      </w:r>
      <w:r w:rsidRPr="0067008A">
        <w:rPr>
          <w:rFonts w:ascii="Times New Roman" w:hAnsi="Times New Roman" w:cs="Times New Roman"/>
          <w:color w:val="202122"/>
        </w:rPr>
        <w:t>” de actos jurídicos, por los cuales aparentemente las personas no tendrían la propiedad de los bienes y capitales en</w:t>
      </w:r>
      <w:r w:rsidRPr="0067008A">
        <w:rPr>
          <w:rFonts w:ascii="Times New Roman" w:hAnsi="Times New Roman" w:cs="Times New Roman"/>
        </w:rPr>
        <w:t xml:space="preserve"> jurisdicciones o regímenes considerados como paraísos fiscales, evidencian todo lo contrario, sobre todo si como lo sostiene la Corte Constitucional en la sentencia </w:t>
      </w:r>
      <w:r w:rsidRPr="0067008A">
        <w:rPr>
          <w:rFonts w:ascii="Times New Roman" w:hAnsi="Times New Roman" w:cs="Times New Roman"/>
          <w:color w:val="202122"/>
        </w:rPr>
        <w:t>Nro. 47-15-IN-21 del 10 de marzo del 2021:</w:t>
      </w:r>
    </w:p>
    <w:p w:rsidR="006A4D59" w:rsidRPr="0067008A" w:rsidRDefault="00921711" w:rsidP="00677E33">
      <w:pPr>
        <w:numPr>
          <w:ilvl w:val="0"/>
          <w:numId w:val="11"/>
        </w:numPr>
        <w:spacing w:after="240" w:line="360" w:lineRule="auto"/>
        <w:jc w:val="both"/>
        <w:rPr>
          <w:rFonts w:ascii="Times New Roman" w:hAnsi="Times New Roman" w:cs="Times New Roman"/>
        </w:rPr>
      </w:pPr>
      <w:r w:rsidRPr="0067008A">
        <w:rPr>
          <w:rFonts w:ascii="Times New Roman" w:hAnsi="Times New Roman" w:cs="Times New Roman"/>
        </w:rPr>
        <w:t>Sanción para quienes incumplen con las prohibiciones dispuestas por la ley.</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El artículo 8 de la </w:t>
      </w:r>
      <w:r w:rsidRPr="0067008A">
        <w:rPr>
          <w:rFonts w:ascii="Times New Roman" w:hAnsi="Times New Roman" w:cs="Times New Roman"/>
          <w:color w:val="202122"/>
        </w:rPr>
        <w:t>Ley Orgánica para la Aplicación de la Consulta Popular Efectuada el 19 de febrero de 2017, establece</w:t>
      </w:r>
      <w:r w:rsidRPr="0067008A">
        <w:rPr>
          <w:rFonts w:ascii="Times New Roman" w:hAnsi="Times New Roman" w:cs="Times New Roman"/>
        </w:rPr>
        <w:t xml:space="preserve"> la destitución como la</w:t>
      </w:r>
      <w:r w:rsidR="00677E33" w:rsidRPr="0067008A">
        <w:rPr>
          <w:rFonts w:ascii="Times New Roman" w:hAnsi="Times New Roman" w:cs="Times New Roman"/>
        </w:rPr>
        <w:t xml:space="preserve"> </w:t>
      </w:r>
      <w:r w:rsidRPr="0067008A">
        <w:rPr>
          <w:rFonts w:ascii="Times New Roman" w:hAnsi="Times New Roman" w:cs="Times New Roman"/>
        </w:rPr>
        <w:t>sanción para los servidores públicos</w:t>
      </w:r>
      <w:r w:rsidR="00677E33" w:rsidRPr="0067008A">
        <w:rPr>
          <w:rFonts w:ascii="Times New Roman" w:hAnsi="Times New Roman" w:cs="Times New Roman"/>
        </w:rPr>
        <w:t xml:space="preserve"> </w:t>
      </w:r>
      <w:r w:rsidRPr="0067008A">
        <w:rPr>
          <w:rFonts w:ascii="Times New Roman" w:hAnsi="Times New Roman" w:cs="Times New Roman"/>
        </w:rPr>
        <w:t>y las autoridades de elección popular en funciones, en caso de incumplir con las prohibiciones mencionadas en el artículo 7.</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Textualmente el artículo 8 de la Ley señala:</w:t>
      </w:r>
    </w:p>
    <w:p w:rsidR="006A4D59" w:rsidRPr="0067008A" w:rsidRDefault="00921711" w:rsidP="002E7BE5">
      <w:pPr>
        <w:spacing w:after="240" w:line="360" w:lineRule="auto"/>
        <w:ind w:left="720"/>
        <w:jc w:val="both"/>
        <w:rPr>
          <w:rFonts w:ascii="Times New Roman" w:hAnsi="Times New Roman" w:cs="Times New Roman"/>
          <w:i/>
        </w:rPr>
      </w:pPr>
      <w:r w:rsidRPr="0067008A">
        <w:rPr>
          <w:rFonts w:ascii="Times New Roman" w:hAnsi="Times New Roman" w:cs="Times New Roman"/>
          <w:i/>
        </w:rPr>
        <w:t xml:space="preserve">“(...) Artículo 8.- Sanción. El incumplimiento de las disposiciones previstas en esta ley, acarreará la destitución o pérdida del cargo de la persona que ostente una dignidad de elección popular o ejerza un cargo en calidad de servidor o servidora pública. </w:t>
      </w:r>
    </w:p>
    <w:p w:rsidR="006A4D59" w:rsidRPr="0067008A" w:rsidRDefault="00921711" w:rsidP="00677E33">
      <w:pPr>
        <w:spacing w:after="240" w:line="360" w:lineRule="auto"/>
        <w:ind w:left="720"/>
        <w:jc w:val="both"/>
        <w:rPr>
          <w:rFonts w:ascii="Times New Roman" w:hAnsi="Times New Roman" w:cs="Times New Roman"/>
          <w:i/>
        </w:rPr>
      </w:pPr>
      <w:r w:rsidRPr="0067008A">
        <w:rPr>
          <w:rFonts w:ascii="Times New Roman" w:hAnsi="Times New Roman" w:cs="Times New Roman"/>
          <w:i/>
        </w:rPr>
        <w:t xml:space="preserve">Si la persona infractora no es destituida en el término de diez días, luego de recibir la notificación que indique que la persona infractora debe ser destituida, lo hará la máxima autoridad de la Contraloría General del Estado, cuya decisión sólo será impugnable en el efecto no suspensivo. </w:t>
      </w:r>
    </w:p>
    <w:p w:rsidR="006A4D59" w:rsidRPr="0067008A" w:rsidRDefault="00921711" w:rsidP="00677E33">
      <w:pPr>
        <w:spacing w:after="240" w:line="360" w:lineRule="auto"/>
        <w:jc w:val="both"/>
        <w:rPr>
          <w:rFonts w:ascii="Times New Roman" w:hAnsi="Times New Roman" w:cs="Times New Roman"/>
          <w:i/>
        </w:rPr>
      </w:pPr>
      <w:r w:rsidRPr="0067008A">
        <w:rPr>
          <w:rFonts w:ascii="Times New Roman" w:hAnsi="Times New Roman" w:cs="Times New Roman"/>
          <w:i/>
        </w:rPr>
        <w:t xml:space="preserve"> </w:t>
      </w:r>
    </w:p>
    <w:p w:rsidR="006A4D59" w:rsidRPr="0067008A" w:rsidRDefault="00921711" w:rsidP="002E7BE5">
      <w:pPr>
        <w:spacing w:after="240" w:line="360" w:lineRule="auto"/>
        <w:ind w:left="720"/>
        <w:jc w:val="both"/>
        <w:rPr>
          <w:rFonts w:ascii="Times New Roman" w:hAnsi="Times New Roman" w:cs="Times New Roman"/>
          <w:i/>
        </w:rPr>
      </w:pPr>
      <w:r w:rsidRPr="0067008A">
        <w:rPr>
          <w:rFonts w:ascii="Times New Roman" w:hAnsi="Times New Roman" w:cs="Times New Roman"/>
          <w:i/>
        </w:rPr>
        <w:t>El no dar trámite a la solicitud de destitución, señalada en el presente artículo, será causal de destitución de la autoridad nominadora. En el caso de gobiernos autónomos descentralizados sus entidades y regímenes especiales, el requerimiento para la remoción de los servidores públicos corresponde a la autoridad nominadora.”</w:t>
      </w:r>
    </w:p>
    <w:p w:rsidR="006A4D59" w:rsidRPr="0067008A" w:rsidRDefault="00921711" w:rsidP="00677E33">
      <w:pPr>
        <w:spacing w:after="240" w:line="360" w:lineRule="auto"/>
        <w:jc w:val="both"/>
        <w:rPr>
          <w:rFonts w:ascii="Times New Roman" w:hAnsi="Times New Roman" w:cs="Times New Roman"/>
          <w:color w:val="202124"/>
        </w:rPr>
      </w:pPr>
      <w:r w:rsidRPr="0067008A">
        <w:rPr>
          <w:rFonts w:ascii="Times New Roman" w:hAnsi="Times New Roman" w:cs="Times New Roman"/>
        </w:rPr>
        <w:t xml:space="preserve">La sanción de destitución impuesta por la Contraloría General del Estado, es impugnable en el efecto no suspensivo, </w:t>
      </w:r>
      <w:r w:rsidRPr="0067008A">
        <w:rPr>
          <w:rFonts w:ascii="Times New Roman" w:hAnsi="Times New Roman" w:cs="Times New Roman"/>
          <w:color w:val="202124"/>
        </w:rPr>
        <w:t>es decir, se cumple lo ordenado en la resolución impugnada, para el efecto, deberá seguirse lo dispuesto en el artículo 49 de la Ley Orgánica de la Contraloría General del Estado.</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 </w:t>
      </w:r>
    </w:p>
    <w:tbl>
      <w:tblPr>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9015"/>
      </w:tblGrid>
      <w:tr w:rsidR="006A4D59" w:rsidRPr="0067008A">
        <w:trPr>
          <w:trHeight w:val="2160"/>
        </w:trPr>
        <w:tc>
          <w:tcPr>
            <w:tcW w:w="9015" w:type="dxa"/>
            <w:tcBorders>
              <w:top w:val="single" w:sz="8" w:space="0" w:color="000000"/>
              <w:left w:val="single" w:sz="8" w:space="0" w:color="000000"/>
              <w:bottom w:val="single" w:sz="8" w:space="0" w:color="000000"/>
              <w:right w:val="single" w:sz="8" w:space="0" w:color="000000"/>
            </w:tcBorders>
            <w:shd w:val="clear" w:color="auto" w:fill="auto"/>
          </w:tcPr>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Ley Orgánica de la Contraloría General del Estado (Suplemento del Registro Oficial No. 595 , 12 de Junio 2002, Última Reforma: Segundo Suplemento del Registro Oficial 31, 7-VII-2017)</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 </w:t>
            </w:r>
          </w:p>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Art. 49.- Recursos.- Las decisiones que impusieren sanción de destitución, de acuerdo con este Capítulo son definitivas en la vía administrativa; pero podrán impugnarse ante los Tribunales Distritales de lo Contencioso Administrativo, dentro del término de treinta días contados desde el día siguiente al de la notificación con la decisión de la sanción.</w:t>
            </w:r>
          </w:p>
        </w:tc>
      </w:tr>
    </w:tbl>
    <w:p w:rsidR="006A4D59" w:rsidRPr="0067008A" w:rsidRDefault="00921711" w:rsidP="00677E33">
      <w:pPr>
        <w:spacing w:after="240" w:line="360" w:lineRule="auto"/>
        <w:jc w:val="both"/>
        <w:rPr>
          <w:rFonts w:ascii="Times New Roman" w:hAnsi="Times New Roman" w:cs="Times New Roman"/>
        </w:rPr>
      </w:pPr>
      <w:r w:rsidRPr="0067008A">
        <w:rPr>
          <w:rFonts w:ascii="Times New Roman" w:hAnsi="Times New Roman" w:cs="Times New Roman"/>
        </w:rPr>
        <w:t xml:space="preserve"> </w:t>
      </w:r>
    </w:p>
    <w:p w:rsidR="006A4D59" w:rsidRPr="0067008A" w:rsidRDefault="00921711" w:rsidP="00677E33">
      <w:pPr>
        <w:spacing w:after="240" w:line="360" w:lineRule="auto"/>
        <w:jc w:val="both"/>
        <w:rPr>
          <w:rFonts w:ascii="Times New Roman" w:hAnsi="Times New Roman" w:cs="Times New Roman"/>
          <w:i/>
        </w:rPr>
      </w:pPr>
      <w:r w:rsidRPr="0067008A">
        <w:rPr>
          <w:rFonts w:ascii="Times New Roman" w:hAnsi="Times New Roman" w:cs="Times New Roman"/>
          <w:i/>
        </w:rPr>
        <w:t xml:space="preserve"> </w:t>
      </w:r>
    </w:p>
    <w:p w:rsidR="006A4D59" w:rsidRPr="0067008A" w:rsidRDefault="00921711" w:rsidP="00677E33">
      <w:pPr>
        <w:numPr>
          <w:ilvl w:val="0"/>
          <w:numId w:val="10"/>
        </w:numPr>
        <w:spacing w:after="240" w:line="360" w:lineRule="auto"/>
        <w:jc w:val="both"/>
        <w:rPr>
          <w:rFonts w:ascii="Times New Roman" w:hAnsi="Times New Roman" w:cs="Times New Roman"/>
        </w:rPr>
      </w:pPr>
      <w:r w:rsidRPr="0067008A">
        <w:rPr>
          <w:rFonts w:ascii="Times New Roman" w:hAnsi="Times New Roman" w:cs="Times New Roman"/>
        </w:rPr>
        <w:t>Procedimiento de investigación previo al archivo de la causa o destitución del servidor público.</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rPr>
        <w:t xml:space="preserve">El artículo 9 de la </w:t>
      </w:r>
      <w:r w:rsidRPr="0067008A">
        <w:rPr>
          <w:rFonts w:ascii="Times New Roman" w:hAnsi="Times New Roman" w:cs="Times New Roman"/>
          <w:color w:val="202122"/>
        </w:rPr>
        <w:t>Ley Orgánica para la Aplicación de la Consulta Popular Efectuada el 19 de febrero de 2017, establece el procedimiento que debe impulsar la Contraloría General del Estado, cuando tenga conocimiento de la violación de las prohibiciones determinadas en en la ley mencionada o cuando cualquier ciudadano denuncie sobre el incumplimiento de la ley (Artículo 10).</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En ese sentido, le corresponde a la Contraloría General del Estado:</w:t>
      </w:r>
    </w:p>
    <w:p w:rsidR="006A4D59" w:rsidRPr="0067008A" w:rsidRDefault="00921711" w:rsidP="00677E33">
      <w:pPr>
        <w:numPr>
          <w:ilvl w:val="0"/>
          <w:numId w:val="5"/>
        </w:num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Disponer el inicio de un examen especial.</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 </w:t>
      </w:r>
    </w:p>
    <w:tbl>
      <w:tblPr>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9015"/>
      </w:tblGrid>
      <w:tr w:rsidR="006A4D59" w:rsidRPr="0067008A">
        <w:trPr>
          <w:trHeight w:val="2850"/>
        </w:trPr>
        <w:tc>
          <w:tcPr>
            <w:tcW w:w="9015" w:type="dxa"/>
            <w:tcBorders>
              <w:top w:val="single" w:sz="8" w:space="0" w:color="000000"/>
              <w:left w:val="single" w:sz="8" w:space="0" w:color="000000"/>
              <w:bottom w:val="single" w:sz="8" w:space="0" w:color="000000"/>
              <w:right w:val="single" w:sz="8" w:space="0" w:color="000000"/>
            </w:tcBorders>
            <w:shd w:val="clear" w:color="auto" w:fill="auto"/>
          </w:tcPr>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Ley Orgánica de la Contraloría General del Estado (Suplemento del Registro Oficial No. 595 , 12 de Junio 2002, Última Reforma: Segundo Suplemento del Registro Oficial 31, 7-VII-2017)</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 </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Art. 19.- Examen Especial.- Como parte de la auditoría gubernamental el examen especial verificará, estudiará y evaluará aspectos limitados o de una parte de las actividades relativas a la gestión financiera, administrativa, operativa y medio ambiental, con posterioridad a su ejecución, aplicará las técnicas y procedimientos de auditoría, de la ingeniería o afines, o de las disciplinas específicas, de acuerdo con la materia de examen y formulará el correspondiente informe que deberá contener comentarios, conclusiones y recomendaciones.</w:t>
            </w:r>
          </w:p>
        </w:tc>
      </w:tr>
    </w:tbl>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 </w:t>
      </w:r>
    </w:p>
    <w:p w:rsidR="006A4D59" w:rsidRPr="0067008A" w:rsidRDefault="00921711" w:rsidP="00677E33">
      <w:pPr>
        <w:numPr>
          <w:ilvl w:val="0"/>
          <w:numId w:val="2"/>
        </w:num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Notificar en el término de tres días el inicio de dicho examen especial.</w:t>
      </w:r>
    </w:p>
    <w:p w:rsidR="006A4D59" w:rsidRPr="0067008A" w:rsidRDefault="00921711" w:rsidP="00677E33">
      <w:pPr>
        <w:numPr>
          <w:ilvl w:val="0"/>
          <w:numId w:val="2"/>
        </w:num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Impulsar el proceso en el término de 60 días para que el servidor o servidores involucrados ejerzan el derecho a la defensa y presenten las pruebas de descargo.</w:t>
      </w:r>
    </w:p>
    <w:p w:rsidR="006A4D59" w:rsidRPr="0067008A" w:rsidRDefault="00921711" w:rsidP="00677E33">
      <w:pPr>
        <w:numPr>
          <w:ilvl w:val="0"/>
          <w:numId w:val="2"/>
        </w:num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Dictaminar en el término de 5 días, posteriores al proceso de examen especial, el archivo de la causa o la destitución del servidor público.</w:t>
      </w:r>
    </w:p>
    <w:p w:rsidR="006A4D59" w:rsidRPr="0067008A" w:rsidRDefault="00921711" w:rsidP="00677E33">
      <w:pPr>
        <w:numPr>
          <w:ilvl w:val="0"/>
          <w:numId w:val="2"/>
        </w:num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Notificar en el término de 3 días al servidor público y a la autoridad nominadora, con el archivo de la causa o la destitución del cargo.</w:t>
      </w:r>
    </w:p>
    <w:p w:rsidR="006A4D59" w:rsidRPr="0067008A" w:rsidRDefault="00921711" w:rsidP="00677E33">
      <w:pPr>
        <w:numPr>
          <w:ilvl w:val="0"/>
          <w:numId w:val="2"/>
        </w:num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En el caso de</w:t>
      </w:r>
      <w:r w:rsidR="00677E33" w:rsidRPr="0067008A">
        <w:rPr>
          <w:rFonts w:ascii="Times New Roman" w:hAnsi="Times New Roman" w:cs="Times New Roman"/>
          <w:color w:val="202122"/>
        </w:rPr>
        <w:t xml:space="preserve"> </w:t>
      </w:r>
      <w:r w:rsidRPr="0067008A">
        <w:rPr>
          <w:rFonts w:ascii="Times New Roman" w:hAnsi="Times New Roman" w:cs="Times New Roman"/>
          <w:color w:val="202122"/>
        </w:rPr>
        <w:t>servidores públicos de elección popular, servidores públicos sujetos a control político, jueces de la Corte Constitucional y jueces de la Corte Nacional de Justicia, remitirá el expediente - en el término de 3 días - informando sobre la destitución a la Corte Constitucional, para que este alto tribunal, en el término de 10 días se pronuncie sobre el cumplimiento del debido proceso. En su resolución la Corte Constitucional confirmará o rechazará el pronunciamiento de la Contraloría General del Estado.</w:t>
      </w:r>
    </w:p>
    <w:p w:rsidR="006A4D59" w:rsidRPr="0067008A" w:rsidRDefault="00921711" w:rsidP="00677E33">
      <w:pPr>
        <w:numPr>
          <w:ilvl w:val="0"/>
          <w:numId w:val="2"/>
        </w:num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En el caso de servidores públicos de elección popular pertenecientes a cuerpos colegiados diferentes a la Asamblea Nacional, como por ejemplo, el Consejo de Participación Ciudadana y Control Social, miembros de Juntas Parroquiales Rurales, Concejeros Municipales, Consejeros Provinciales, la resolución de la Corte Constitucional se remitirá a dichos cuerpos colegiados para que ejecuten la resolución en el término de 10 días.</w:t>
      </w:r>
    </w:p>
    <w:p w:rsidR="006A4D59" w:rsidRPr="0067008A" w:rsidRDefault="00921711" w:rsidP="00677E33">
      <w:pPr>
        <w:numPr>
          <w:ilvl w:val="0"/>
          <w:numId w:val="2"/>
        </w:num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En el caso del Presidente de la República, Vicepresidente de la República y Asambleístas, la resolución de destitución emitida por la Contraloría General del Estado, deberá ser notificada en el término de 3 días ante la Corte Constitucional</w:t>
      </w:r>
      <w:r w:rsidR="00677E33" w:rsidRPr="0067008A">
        <w:rPr>
          <w:rFonts w:ascii="Times New Roman" w:hAnsi="Times New Roman" w:cs="Times New Roman"/>
          <w:color w:val="202122"/>
        </w:rPr>
        <w:t xml:space="preserve"> </w:t>
      </w:r>
      <w:r w:rsidRPr="0067008A">
        <w:rPr>
          <w:rFonts w:ascii="Times New Roman" w:hAnsi="Times New Roman" w:cs="Times New Roman"/>
          <w:color w:val="202122"/>
        </w:rPr>
        <w:t>y al servidor público. La Corte Constitucional en el término de 10 días</w:t>
      </w:r>
      <w:r w:rsidR="00677E33" w:rsidRPr="0067008A">
        <w:rPr>
          <w:rFonts w:ascii="Times New Roman" w:hAnsi="Times New Roman" w:cs="Times New Roman"/>
          <w:color w:val="202122"/>
        </w:rPr>
        <w:t xml:space="preserve"> </w:t>
      </w:r>
      <w:r w:rsidRPr="0067008A">
        <w:rPr>
          <w:rFonts w:ascii="Times New Roman" w:hAnsi="Times New Roman" w:cs="Times New Roman"/>
          <w:color w:val="202122"/>
        </w:rPr>
        <w:t xml:space="preserve">debe confirmar o rechazar la resolución de destitución que emita la Contraloría General del Estado. De confirmar la resolución de destitución, la Corte Constitucional deberá notificar de manera inmediata a la Asamblea Nacional, para que adopte la decisión que corresponda conforme la ley. </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5. Consecuencias jurídicas adicionales contra los servidores públicos y autoridades de cargos de elección popular, producto de la destitución dispuesta por la Contraloría General del Estado por violar las prohibiciones determinadas en la Ley Orgánica para la Aplicación de la Consulta Popular Efectuada el 19 de febrero de 2017.</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La Ley Orgánica de la Contraloría General del Estado en el Capítulo V relativo a la determinación de responsabilidades, en el artículo 39 establece: </w:t>
      </w:r>
    </w:p>
    <w:p w:rsidR="006A4D59" w:rsidRPr="0067008A" w:rsidRDefault="00921711" w:rsidP="002E7BE5">
      <w:pPr>
        <w:spacing w:after="240" w:line="360" w:lineRule="auto"/>
        <w:ind w:left="720"/>
        <w:jc w:val="both"/>
        <w:rPr>
          <w:rFonts w:ascii="Times New Roman" w:hAnsi="Times New Roman" w:cs="Times New Roman"/>
          <w:i/>
          <w:color w:val="202122"/>
        </w:rPr>
      </w:pPr>
      <w:r w:rsidRPr="0067008A">
        <w:rPr>
          <w:rFonts w:ascii="Times New Roman" w:hAnsi="Times New Roman" w:cs="Times New Roman"/>
          <w:color w:val="202122"/>
        </w:rPr>
        <w:t>“</w:t>
      </w:r>
      <w:r w:rsidRPr="0067008A">
        <w:rPr>
          <w:rFonts w:ascii="Times New Roman" w:hAnsi="Times New Roman" w:cs="Times New Roman"/>
          <w:i/>
          <w:color w:val="202122"/>
        </w:rPr>
        <w:t>(...) Art. 39.- Determinación de responsabilidades y seguimiento.</w:t>
      </w:r>
      <w:r w:rsidRPr="0067008A">
        <w:rPr>
          <w:rFonts w:ascii="Times New Roman" w:hAnsi="Times New Roman" w:cs="Times New Roman"/>
          <w:i/>
          <w:color w:val="202122"/>
        </w:rPr>
        <w:softHyphen/>
        <w:t xml:space="preserve"> A base de los resultados de la auditoría gubernamental, contenidos en actas o informes, la Contraloría General del Estado, tendrá potestad exclusiva para determinar responsabilidades administrativas y civiles culposas e indicios de responsabilidad penal. </w:t>
      </w:r>
    </w:p>
    <w:p w:rsidR="006A4D59" w:rsidRPr="0067008A" w:rsidRDefault="00921711" w:rsidP="002E7BE5">
      <w:pPr>
        <w:spacing w:after="240" w:line="360" w:lineRule="auto"/>
        <w:ind w:left="720"/>
        <w:jc w:val="both"/>
        <w:rPr>
          <w:rFonts w:ascii="Times New Roman" w:hAnsi="Times New Roman" w:cs="Times New Roman"/>
          <w:i/>
          <w:color w:val="202122"/>
        </w:rPr>
      </w:pPr>
      <w:r w:rsidRPr="0067008A">
        <w:rPr>
          <w:rFonts w:ascii="Times New Roman" w:hAnsi="Times New Roman" w:cs="Times New Roman"/>
          <w:i/>
          <w:color w:val="202122"/>
        </w:rPr>
        <w:t xml:space="preserve">Previamente a la determinación de responsabilidades administrativas y civiles culposas que se desprendan de los informes elaborados por las auditorías internas, la Contraloría General del Estado examinará el cumplimiento de los preceptos legales y de las normas de auditoría y procederá a determinarlas con la debida motivación, sustentándose en los fundamentos de hecho y de derecho pertinentes. De existir indicios de responsabilidad penal, se procederá de acuerdo a lo previsto en los artículos 65, 66 y 67 de esta Ley. </w:t>
      </w:r>
    </w:p>
    <w:p w:rsidR="006A4D59" w:rsidRPr="0067008A" w:rsidRDefault="00921711" w:rsidP="002E7BE5">
      <w:pPr>
        <w:spacing w:after="240" w:line="360" w:lineRule="auto"/>
        <w:ind w:left="720"/>
        <w:jc w:val="both"/>
        <w:rPr>
          <w:rFonts w:ascii="Times New Roman" w:hAnsi="Times New Roman" w:cs="Times New Roman"/>
          <w:i/>
          <w:color w:val="202122"/>
        </w:rPr>
      </w:pPr>
      <w:r w:rsidRPr="0067008A">
        <w:rPr>
          <w:rFonts w:ascii="Times New Roman" w:hAnsi="Times New Roman" w:cs="Times New Roman"/>
          <w:i/>
          <w:color w:val="202122"/>
        </w:rPr>
        <w:t xml:space="preserve">En todos los casos, la evidencia que sustente la determinación de responsabilidades, a más de suficiente, competente y pertinente, reunirá los requisitos formales para fundamentar la defensa en juicio. </w:t>
      </w:r>
    </w:p>
    <w:p w:rsidR="006A4D59" w:rsidRPr="0067008A" w:rsidRDefault="00921711" w:rsidP="002E7BE5">
      <w:pPr>
        <w:spacing w:after="240" w:line="360" w:lineRule="auto"/>
        <w:ind w:left="720"/>
        <w:jc w:val="both"/>
        <w:rPr>
          <w:rFonts w:ascii="Times New Roman" w:hAnsi="Times New Roman" w:cs="Times New Roman"/>
          <w:i/>
          <w:color w:val="202122"/>
        </w:rPr>
      </w:pPr>
      <w:r w:rsidRPr="0067008A">
        <w:rPr>
          <w:rFonts w:ascii="Times New Roman" w:hAnsi="Times New Roman" w:cs="Times New Roman"/>
          <w:i/>
          <w:color w:val="202122"/>
        </w:rPr>
        <w:t>La Contraloría General del Estado efectuará el seguimiento de la emisión y cobro de los títulos de crédito originados en resoluciones ejecutoriadas. (...)”</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En consecuencia, el informe proveniente del examen especial dispuesto en el artículo </w:t>
      </w:r>
      <w:r w:rsidRPr="0067008A">
        <w:rPr>
          <w:rFonts w:ascii="Times New Roman" w:hAnsi="Times New Roman" w:cs="Times New Roman"/>
        </w:rPr>
        <w:t xml:space="preserve">9 de la </w:t>
      </w:r>
      <w:r w:rsidRPr="0067008A">
        <w:rPr>
          <w:rFonts w:ascii="Times New Roman" w:hAnsi="Times New Roman" w:cs="Times New Roman"/>
          <w:color w:val="202122"/>
        </w:rPr>
        <w:t>Ley Orgánica para la Aplicación de la Consulta Popular Efectuada el 19 de febrero de 2017, además de disponer el archivo o en su caso la destitución del servidor público, deberá determinar, de ser pertinente, en sus conclusiones y recomendaciones la responsabilidades administrativas y civiles culposas e indicios de responsabilidad penal que se desprendan del examen especial.</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 </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6. Procedimiento constitucional y legal en el caso que el Presidente de la República haya incumplido con las prohibiciones dispuesta en la Ley Orgánica para la Aplicación de la Consulta Popular Efectuada el 19 de febrero de 2017 y sea destituido por la Contraloría General del Estado y ratificada dicha destitución por la Corte Constitucional.</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En el caso del Presidente de la República, si la resolución de destitución emitida por la Contraloría General del Estado, es ratificada por la Corte Constitucional y notificada a la Asamblea Nacional, es necesario revisar lo dispuesto en el artículo 130 de la Constitución de la República que dispone:</w:t>
      </w:r>
    </w:p>
    <w:p w:rsidR="006A4D59" w:rsidRPr="0067008A" w:rsidRDefault="00921711" w:rsidP="002E7BE5">
      <w:pPr>
        <w:spacing w:after="240" w:line="360" w:lineRule="auto"/>
        <w:ind w:left="720"/>
        <w:jc w:val="both"/>
        <w:rPr>
          <w:rFonts w:ascii="Times New Roman" w:hAnsi="Times New Roman" w:cs="Times New Roman"/>
          <w:i/>
          <w:color w:val="202122"/>
        </w:rPr>
      </w:pPr>
      <w:r w:rsidRPr="0067008A">
        <w:rPr>
          <w:rFonts w:ascii="Times New Roman" w:hAnsi="Times New Roman" w:cs="Times New Roman"/>
          <w:i/>
          <w:color w:val="202122"/>
        </w:rPr>
        <w:t xml:space="preserve">“(...) Art. 130.- La Asamblea Nacional podrá destituir a la Presidenta o Presidente de la República en los siguientes casos: </w:t>
      </w:r>
    </w:p>
    <w:p w:rsidR="006A4D59" w:rsidRPr="0067008A" w:rsidRDefault="00921711" w:rsidP="00677E33">
      <w:pPr>
        <w:spacing w:after="240" w:line="360" w:lineRule="auto"/>
        <w:ind w:left="720"/>
        <w:jc w:val="both"/>
        <w:rPr>
          <w:rFonts w:ascii="Times New Roman" w:hAnsi="Times New Roman" w:cs="Times New Roman"/>
          <w:i/>
          <w:color w:val="202122"/>
        </w:rPr>
      </w:pPr>
      <w:r w:rsidRPr="0067008A">
        <w:rPr>
          <w:rFonts w:ascii="Times New Roman" w:hAnsi="Times New Roman" w:cs="Times New Roman"/>
          <w:i/>
          <w:color w:val="202122"/>
        </w:rPr>
        <w:t xml:space="preserve">1. Por arrogarse funciones que no le competan constitucionalmente, previo dictamen favorable de la Corte Constitucional. </w:t>
      </w:r>
    </w:p>
    <w:p w:rsidR="006A4D59" w:rsidRPr="0067008A" w:rsidRDefault="00921711" w:rsidP="002E7BE5">
      <w:pPr>
        <w:spacing w:after="240" w:line="360" w:lineRule="auto"/>
        <w:ind w:left="720"/>
        <w:jc w:val="both"/>
        <w:rPr>
          <w:rFonts w:ascii="Times New Roman" w:hAnsi="Times New Roman" w:cs="Times New Roman"/>
          <w:i/>
          <w:color w:val="202122"/>
        </w:rPr>
      </w:pPr>
      <w:r w:rsidRPr="0067008A">
        <w:rPr>
          <w:rFonts w:ascii="Times New Roman" w:hAnsi="Times New Roman" w:cs="Times New Roman"/>
          <w:i/>
          <w:color w:val="202122"/>
        </w:rPr>
        <w:t xml:space="preserve">2. Por grave crisis política y conmoción interna. </w:t>
      </w:r>
    </w:p>
    <w:p w:rsidR="006A4D59" w:rsidRPr="0067008A" w:rsidRDefault="00921711" w:rsidP="00FF6DAE">
      <w:pPr>
        <w:spacing w:after="240" w:line="360" w:lineRule="auto"/>
        <w:ind w:left="720"/>
        <w:jc w:val="both"/>
        <w:rPr>
          <w:rFonts w:ascii="Times New Roman" w:hAnsi="Times New Roman" w:cs="Times New Roman"/>
          <w:i/>
          <w:color w:val="202122"/>
        </w:rPr>
      </w:pPr>
      <w:r w:rsidRPr="0067008A">
        <w:rPr>
          <w:rFonts w:ascii="Times New Roman" w:hAnsi="Times New Roman" w:cs="Times New Roman"/>
          <w:i/>
          <w:color w:val="202122"/>
        </w:rPr>
        <w:t xml:space="preserve">En un plazo de setenta y dos horas, concluido el procedimiento establecido en la ley, la Asamblea Nacional resolverá motivadamente con base en las pruebas de descargo presentadas por la Presidenta o Presidente de la República. </w:t>
      </w:r>
    </w:p>
    <w:p w:rsidR="006A4D59" w:rsidRPr="0067008A" w:rsidRDefault="00921711" w:rsidP="00FF6DAE">
      <w:pPr>
        <w:spacing w:after="240" w:line="360" w:lineRule="auto"/>
        <w:ind w:left="720"/>
        <w:jc w:val="both"/>
        <w:rPr>
          <w:rFonts w:ascii="Times New Roman" w:hAnsi="Times New Roman" w:cs="Times New Roman"/>
          <w:i/>
          <w:color w:val="202122"/>
        </w:rPr>
      </w:pPr>
      <w:r w:rsidRPr="0067008A">
        <w:rPr>
          <w:rFonts w:ascii="Times New Roman" w:hAnsi="Times New Roman" w:cs="Times New Roman"/>
          <w:i/>
          <w:color w:val="202122"/>
        </w:rPr>
        <w:t xml:space="preserve">Para proceder a la destitución se requerirá el voto favorable de las dos terceras partes de los miembros de la Asamblea Nacional. De prosperar la destitución, la Vicepresidenta o Vicepresidente asumirá la Presidencia de la República. </w:t>
      </w:r>
    </w:p>
    <w:p w:rsidR="006A4D59" w:rsidRPr="0067008A" w:rsidRDefault="00921711" w:rsidP="00FF6DAE">
      <w:pPr>
        <w:spacing w:after="240" w:line="360" w:lineRule="auto"/>
        <w:ind w:left="720"/>
        <w:jc w:val="both"/>
        <w:rPr>
          <w:rFonts w:ascii="Times New Roman" w:hAnsi="Times New Roman" w:cs="Times New Roman"/>
          <w:i/>
          <w:color w:val="202122"/>
        </w:rPr>
      </w:pPr>
      <w:r w:rsidRPr="0067008A">
        <w:rPr>
          <w:rFonts w:ascii="Times New Roman" w:hAnsi="Times New Roman" w:cs="Times New Roman"/>
          <w:i/>
          <w:color w:val="202122"/>
        </w:rPr>
        <w:t>Esta facultad podrá ser ejercida por una sola vez durante el periodo legislativo, en los tres primeros años del mismo.</w:t>
      </w:r>
    </w:p>
    <w:p w:rsidR="006A4D59" w:rsidRPr="0067008A" w:rsidRDefault="00921711" w:rsidP="00FF6DAE">
      <w:pPr>
        <w:spacing w:after="240" w:line="360" w:lineRule="auto"/>
        <w:ind w:left="720"/>
        <w:jc w:val="both"/>
        <w:rPr>
          <w:rFonts w:ascii="Times New Roman" w:hAnsi="Times New Roman" w:cs="Times New Roman"/>
          <w:i/>
          <w:color w:val="202122"/>
        </w:rPr>
      </w:pPr>
      <w:r w:rsidRPr="0067008A">
        <w:rPr>
          <w:rFonts w:ascii="Times New Roman" w:hAnsi="Times New Roman" w:cs="Times New Roman"/>
          <w:i/>
          <w:color w:val="202122"/>
        </w:rPr>
        <w:t>En un plazo máximo de siete días después de la publicación de la resolución de destitución, el Consejo Nacional Electoral convocará para una misma fecha a elecciones legislativas y presidenciales anticipadas para el resto de los respectivos períodos. La instalación de la Asamblea Nacional y la posesión de la Presidenta o Presidente electo tendrá lugar de acuerdo con lo previsto en la Constitución, en la fecha determinada por el Consejo Nacional Electoral(...)</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 xml:space="preserve">Al respecto, es preciso recordar que el Pleno de la Asamblea Nacional en la Resolución Nro. 2021-2023-032 del 7 de octubre de 2021, requirió a la Comisión Especializada Permanente de Garantías Constitucionales, Derechos Humanos, Derechos Colectivos y la Interculturalidad efectúe la investigación correspondiente del caso denominado “Pandora Papers”, sustentada en el artículo 77 de la Ley Orgánica de la Función Legislativa, al tratarse de la </w:t>
      </w:r>
      <w:r w:rsidRPr="0067008A">
        <w:rPr>
          <w:rFonts w:ascii="Times New Roman" w:hAnsi="Times New Roman" w:cs="Times New Roman"/>
          <w:i/>
          <w:color w:val="202122"/>
        </w:rPr>
        <w:t xml:space="preserve">“actuación de cualquier funcionaria o funcionario público de las distintas funciones del Estado o sobre actos de interés ciudadano que hayan generado conmoción social o crisis política” </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El antecedente histórico, fáctico y material que dio lugar al inicio de la investigación parlamentaria dispuesta por el Pleno de la Asamblea Nacional, constituye la investigación periodística realizada por el Consorcio Internacional de Periodistas de Investigación difundida el 3 de octubre de 2021 y conocido como los “</w:t>
      </w:r>
      <w:r w:rsidRPr="0067008A">
        <w:rPr>
          <w:rFonts w:ascii="Times New Roman" w:hAnsi="Times New Roman" w:cs="Times New Roman"/>
          <w:i/>
          <w:color w:val="202122"/>
        </w:rPr>
        <w:t xml:space="preserve">Pandora Papers”, </w:t>
      </w:r>
      <w:r w:rsidRPr="0067008A">
        <w:rPr>
          <w:rFonts w:ascii="Times New Roman" w:hAnsi="Times New Roman" w:cs="Times New Roman"/>
          <w:color w:val="202122"/>
        </w:rPr>
        <w:t>que incluye aproximadamente 12 millones de documentos investigados por más de 600 periodistas, de 117 medios de comunicación del mundo, que dejan al descubierto los secretos financieros que van desde el uso de compañías offshore en paraísos fiscales, la riqueza secreta y la evasión de impuestos de jefes y exjefes de Estado, empresarios y hasta figuras del mundo del espectáculo. Los “</w:t>
      </w:r>
      <w:r w:rsidRPr="0067008A">
        <w:rPr>
          <w:rFonts w:ascii="Times New Roman" w:hAnsi="Times New Roman" w:cs="Times New Roman"/>
          <w:i/>
          <w:color w:val="202122"/>
        </w:rPr>
        <w:t>Pandora Papers</w:t>
      </w:r>
      <w:r w:rsidRPr="0067008A">
        <w:rPr>
          <w:rFonts w:ascii="Times New Roman" w:hAnsi="Times New Roman" w:cs="Times New Roman"/>
          <w:color w:val="202122"/>
        </w:rPr>
        <w:t>” revelaron que el Presidente de la República, Guillermo Lasso Mendoza ha tenido vínculos con 10 compañías offshore y fideicomisos de Panamá, de Dakota del Sur y Delaware, en Estados Unidos de América.</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Desde que se difundieron los “</w:t>
      </w:r>
      <w:r w:rsidRPr="0067008A">
        <w:rPr>
          <w:rFonts w:ascii="Times New Roman" w:hAnsi="Times New Roman" w:cs="Times New Roman"/>
          <w:i/>
          <w:color w:val="202122"/>
        </w:rPr>
        <w:t>Pandora Papers</w:t>
      </w:r>
      <w:r w:rsidRPr="0067008A">
        <w:rPr>
          <w:rFonts w:ascii="Times New Roman" w:hAnsi="Times New Roman" w:cs="Times New Roman"/>
          <w:color w:val="202122"/>
        </w:rPr>
        <w:t>”, el escenario social, político, institucional y mediático en el Ecuador se vio envuelto en una crisis política por las causas y consecuencias que tienen y tendrán los resultados de las investigaciones que lleva adelante la Asamblea Nacional a través de la Comisión Especializada Permanente de Garantías Constitucionales, Derechos Humanos, Derechos Colectivos y la Interculturalidad. Además, nos hemos visto envueltos en un estado de conmoción social interna, que de manera concurrente encuentra a la crisis económica producto de las secuelas de la pandemia del COVID-19, las políticas económicas implementadas por el Ejecutivo, y el aumento de la inseguridad por la operación de grupos delincuenciales con vínculos dentro y fuera del país, provocando una estrutural afectación al ejercicio de los derechos económicos, sociales, culturales, civiles, políticos y medioambientales que afrontan los habitantes del Ecuador, a tal punto, que el Presidente de la República declaró el Estado de Excepción a través del Decreto Ejecutivo Nro. 224 del 18 de octubre de 2021.</w:t>
      </w:r>
    </w:p>
    <w:p w:rsidR="006A4D59" w:rsidRPr="0067008A" w:rsidRDefault="00921711" w:rsidP="00FF6DAE">
      <w:pPr>
        <w:spacing w:after="240" w:line="360" w:lineRule="auto"/>
        <w:ind w:left="720"/>
        <w:jc w:val="both"/>
        <w:rPr>
          <w:rFonts w:ascii="Times New Roman" w:hAnsi="Times New Roman" w:cs="Times New Roman"/>
          <w:i/>
          <w:color w:val="202122"/>
          <w:vertAlign w:val="superscript"/>
        </w:rPr>
      </w:pPr>
      <w:r w:rsidRPr="0067008A">
        <w:rPr>
          <w:rFonts w:ascii="Times New Roman" w:hAnsi="Times New Roman" w:cs="Times New Roman"/>
          <w:color w:val="202122"/>
        </w:rPr>
        <w:t>“</w:t>
      </w:r>
      <w:r w:rsidRPr="0067008A">
        <w:rPr>
          <w:rFonts w:ascii="Times New Roman" w:hAnsi="Times New Roman" w:cs="Times New Roman"/>
          <w:i/>
          <w:color w:val="202122"/>
        </w:rPr>
        <w:t>(...) Según Casero (2015), la crisis política comprende “un proceso de naturaleza conflictiva caracterizado por su carácter súbito y dinámico, por propiciar el enfrentamiento abierto entre actores políticos y por su alto grado de complejidad” (p. 182), en tal virtud, entendemos a la crisis política como un momento de pugna en el que los ostentadores del poder político presentan sus contradicciones(...)”</w:t>
      </w:r>
      <w:r w:rsidRPr="0067008A">
        <w:rPr>
          <w:rStyle w:val="Ancladenotaalpie"/>
          <w:rFonts w:ascii="Times New Roman" w:hAnsi="Times New Roman" w:cs="Times New Roman"/>
          <w:i/>
          <w:color w:val="202122"/>
        </w:rPr>
        <w:footnoteReference w:id="16"/>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Ese es el escenario que la realidad ecuatoriana expresa producto de las investigaciones de los “</w:t>
      </w:r>
      <w:r w:rsidRPr="0067008A">
        <w:rPr>
          <w:rFonts w:ascii="Times New Roman" w:hAnsi="Times New Roman" w:cs="Times New Roman"/>
          <w:i/>
          <w:color w:val="202122"/>
        </w:rPr>
        <w:t>Pandora Papers</w:t>
      </w:r>
      <w:r w:rsidRPr="0067008A">
        <w:rPr>
          <w:rFonts w:ascii="Times New Roman" w:hAnsi="Times New Roman" w:cs="Times New Roman"/>
          <w:color w:val="202122"/>
        </w:rPr>
        <w:t>” y el involucramiento del primer mandatario dentro de las investigaciones realizadas, lo cual, sin duda, se circunscribe a lo determinado por la primera parte del numeral segundo del artículo 130 de la Constitución de la República, como “</w:t>
      </w:r>
      <w:r w:rsidRPr="0067008A">
        <w:rPr>
          <w:rFonts w:ascii="Times New Roman" w:hAnsi="Times New Roman" w:cs="Times New Roman"/>
          <w:i/>
          <w:color w:val="202122"/>
        </w:rPr>
        <w:t>grave crisis política</w:t>
      </w:r>
      <w:r w:rsidRPr="0067008A">
        <w:rPr>
          <w:rFonts w:ascii="Times New Roman" w:hAnsi="Times New Roman" w:cs="Times New Roman"/>
          <w:color w:val="202122"/>
        </w:rPr>
        <w:t>”</w:t>
      </w:r>
    </w:p>
    <w:p w:rsidR="006A4D59" w:rsidRPr="0067008A" w:rsidRDefault="00921711" w:rsidP="00677E33">
      <w:pPr>
        <w:spacing w:after="240" w:line="360" w:lineRule="auto"/>
        <w:jc w:val="both"/>
        <w:rPr>
          <w:rFonts w:ascii="Times New Roman" w:hAnsi="Times New Roman" w:cs="Times New Roman"/>
          <w:color w:val="202122"/>
        </w:rPr>
      </w:pPr>
      <w:r w:rsidRPr="0067008A">
        <w:rPr>
          <w:rFonts w:ascii="Times New Roman" w:hAnsi="Times New Roman" w:cs="Times New Roman"/>
          <w:color w:val="202122"/>
        </w:rPr>
        <w:t>Por otra parte, cuando se habla de conmoción interna nos referimos a una situación de caos que también la podemos encontrar dentro de las causales previstas en los estados de excepción. En ese sentido la Corte Constitucional identificó parámetros para la determinación del supuesto “</w:t>
      </w:r>
      <w:r w:rsidRPr="0067008A">
        <w:rPr>
          <w:rFonts w:ascii="Times New Roman" w:hAnsi="Times New Roman" w:cs="Times New Roman"/>
          <w:i/>
          <w:color w:val="202122"/>
        </w:rPr>
        <w:t>conmoción interna”</w:t>
      </w:r>
      <w:r w:rsidRPr="0067008A">
        <w:rPr>
          <w:rFonts w:ascii="Times New Roman" w:hAnsi="Times New Roman" w:cs="Times New Roman"/>
          <w:color w:val="202122"/>
        </w:rPr>
        <w:t>, mencionados en el Dictamen Nro. 3-19-EE-2019:</w:t>
      </w:r>
    </w:p>
    <w:p w:rsidR="006A4D59" w:rsidRPr="0067008A" w:rsidRDefault="00921711" w:rsidP="00FF6DAE">
      <w:pPr>
        <w:spacing w:after="240" w:line="360" w:lineRule="auto"/>
        <w:ind w:left="720"/>
        <w:jc w:val="both"/>
        <w:rPr>
          <w:rFonts w:ascii="Times New Roman" w:hAnsi="Times New Roman" w:cs="Times New Roman"/>
          <w:i/>
          <w:color w:val="202122"/>
          <w:vertAlign w:val="superscript"/>
        </w:rPr>
      </w:pPr>
      <w:r w:rsidRPr="0067008A">
        <w:rPr>
          <w:rFonts w:ascii="Times New Roman" w:hAnsi="Times New Roman" w:cs="Times New Roman"/>
          <w:color w:val="202122"/>
        </w:rPr>
        <w:t>“</w:t>
      </w:r>
      <w:r w:rsidRPr="0067008A">
        <w:rPr>
          <w:rFonts w:ascii="Times New Roman" w:hAnsi="Times New Roman" w:cs="Times New Roman"/>
          <w:i/>
          <w:color w:val="202122"/>
        </w:rPr>
        <w:t>(...) En primer lugar, la conmoción interna implica la real ocurrencia de acontecimientos de tal intensidad que atenten gravemente en contra del ejercicio de los derechos constitucionales, la estabilidad institucional, la seguridad y la convivencia normal de la ciudadanía. En segundo lugar, los hechos que configuran una situación de grave conmoción interna deben generar una considerable alarma social. Estos hechos de manera frecuente, suelen ser reportados por los medios de comunicación(...)”</w:t>
      </w:r>
      <w:r w:rsidRPr="0067008A">
        <w:rPr>
          <w:rStyle w:val="Ancladenotaalpie"/>
          <w:rFonts w:ascii="Times New Roman" w:hAnsi="Times New Roman" w:cs="Times New Roman"/>
          <w:i/>
          <w:color w:val="202122"/>
        </w:rPr>
        <w:footnoteReference w:id="17"/>
      </w:r>
    </w:p>
    <w:p w:rsidR="006A4D59" w:rsidRPr="0067008A" w:rsidRDefault="00921711" w:rsidP="00677E33">
      <w:pPr>
        <w:spacing w:after="240" w:line="360" w:lineRule="auto"/>
        <w:jc w:val="both"/>
        <w:rPr>
          <w:rFonts w:ascii="Times New Roman" w:hAnsi="Times New Roman" w:cs="Times New Roman"/>
          <w:b/>
          <w:highlight w:val="yellow"/>
        </w:rPr>
      </w:pPr>
      <w:r w:rsidRPr="0067008A">
        <w:rPr>
          <w:rFonts w:ascii="Times New Roman" w:hAnsi="Times New Roman" w:cs="Times New Roman"/>
          <w:color w:val="202122"/>
        </w:rPr>
        <w:t>Al respecto, debemos reiterar que la conmoción interna que vive el país se expresa por un sinnúmero de signos y síntomas que de manera concurrente y simultánea se encuentran en la realidad nacional y que fueron gravemente afectados luego de que se develaron las investigaciones de los “</w:t>
      </w:r>
      <w:r w:rsidRPr="0067008A">
        <w:rPr>
          <w:rFonts w:ascii="Times New Roman" w:hAnsi="Times New Roman" w:cs="Times New Roman"/>
          <w:i/>
          <w:color w:val="202122"/>
        </w:rPr>
        <w:t>Pandora Papers”</w:t>
      </w:r>
    </w:p>
    <w:p w:rsidR="006A4D59" w:rsidRPr="0067008A" w:rsidRDefault="00677E33" w:rsidP="00677E33">
      <w:pPr>
        <w:spacing w:after="240" w:line="360" w:lineRule="auto"/>
        <w:jc w:val="both"/>
        <w:rPr>
          <w:rFonts w:ascii="Times New Roman" w:hAnsi="Times New Roman" w:cs="Times New Roman"/>
        </w:rPr>
      </w:pPr>
      <w:r w:rsidRPr="0067008A">
        <w:rPr>
          <w:rFonts w:ascii="Times New Roman" w:hAnsi="Times New Roman" w:cs="Times New Roman"/>
          <w:b/>
          <w:color w:val="202122"/>
          <w:highlight w:val="white"/>
        </w:rPr>
        <w:t xml:space="preserve"> </w:t>
      </w:r>
    </w:p>
    <w:p w:rsidR="006A4D59" w:rsidRPr="0067008A" w:rsidRDefault="00921711" w:rsidP="00FF6DAE">
      <w:pPr>
        <w:pStyle w:val="Prrafodelista"/>
        <w:spacing w:after="240" w:line="360" w:lineRule="auto"/>
        <w:contextualSpacing w:val="0"/>
        <w:rPr>
          <w:sz w:val="22"/>
        </w:rPr>
      </w:pPr>
      <w:r w:rsidRPr="0067008A">
        <w:rPr>
          <w:b/>
          <w:sz w:val="22"/>
        </w:rPr>
        <w:t>CONSIDERACIONES ÉTIC</w:t>
      </w:r>
      <w:r w:rsidR="00FF6DAE" w:rsidRPr="0067008A">
        <w:rPr>
          <w:b/>
          <w:sz w:val="22"/>
        </w:rPr>
        <w:t>A</w:t>
      </w:r>
    </w:p>
    <w:p w:rsidR="006A4D59" w:rsidRPr="0067008A" w:rsidRDefault="00921711" w:rsidP="00677E33">
      <w:pPr>
        <w:spacing w:after="240" w:line="360" w:lineRule="auto"/>
        <w:rPr>
          <w:rFonts w:ascii="Times New Roman" w:hAnsi="Times New Roman" w:cs="Times New Roman"/>
        </w:rPr>
      </w:pPr>
      <w:r w:rsidRPr="0067008A">
        <w:rPr>
          <w:rFonts w:ascii="Times New Roman" w:hAnsi="Times New Roman" w:cs="Times New Roman"/>
          <w:lang w:val="es-EC"/>
        </w:rPr>
        <w:t xml:space="preserve">La democracia, para su vigencia y calidad, tiene como uno de los dispositivos principales el contrapeso de poderes. Desde el campo jurídico, las normas tienen como objetivo no sólo la legalidad, sino también la integración de la sociedad y el desarrollo del país. Las leyes de control del origen, movimiento, propiedad de fondos financieros, buscan garantizar la transparencia en el manejo y la responsabilidad respecto a la economía y a la situación de la población. </w:t>
      </w:r>
    </w:p>
    <w:p w:rsidR="006A4D59" w:rsidRPr="0067008A" w:rsidRDefault="00921711" w:rsidP="00677E33">
      <w:pPr>
        <w:spacing w:after="240" w:line="360" w:lineRule="auto"/>
        <w:rPr>
          <w:rFonts w:ascii="Times New Roman" w:hAnsi="Times New Roman" w:cs="Times New Roman"/>
        </w:rPr>
      </w:pPr>
      <w:r w:rsidRPr="0067008A">
        <w:rPr>
          <w:rFonts w:ascii="Times New Roman" w:hAnsi="Times New Roman" w:cs="Times New Roman"/>
          <w:lang w:val="es-EC"/>
        </w:rPr>
        <w:t xml:space="preserve">La Constitución establece responsabilidades para los ciudadanos. </w:t>
      </w:r>
      <w:r w:rsidRPr="0067008A">
        <w:rPr>
          <w:rFonts w:ascii="Times New Roman" w:hAnsi="Times New Roman" w:cs="Times New Roman"/>
          <w:i/>
          <w:lang w:val="es-EC"/>
        </w:rPr>
        <w:t>Art. 83.- Son deberes y responsabilidades de las ecuatorianas y los ecuatorianos, sin perjuicio de otros previstos en la Constitución y la ley: 7. Promover el bien común y anteponer el interés general al interés particular, conforme al buen vivir. 9. Practicar la justicia y la solidaridad en el ejercicio de sus derechos y en el disfrute de bienes y servicios. 15. Cooperar con el Estado y la comunidad en la seguridad social, y pagar los tributos establecidos por la ley. 17. Participar en la vida política, cívica y comunitaria del país, de manera honesta y transparente.</w:t>
      </w:r>
    </w:p>
    <w:p w:rsidR="006A4D59" w:rsidRPr="0067008A" w:rsidRDefault="006A4D59" w:rsidP="00677E33">
      <w:pPr>
        <w:spacing w:after="240" w:line="360" w:lineRule="auto"/>
        <w:rPr>
          <w:rFonts w:ascii="Times New Roman" w:hAnsi="Times New Roman" w:cs="Times New Roman"/>
          <w:lang w:val="es-EC"/>
        </w:rPr>
      </w:pPr>
    </w:p>
    <w:p w:rsidR="006A4D59" w:rsidRPr="0067008A" w:rsidRDefault="00921711" w:rsidP="00677E33">
      <w:pPr>
        <w:spacing w:after="240" w:line="360" w:lineRule="auto"/>
        <w:rPr>
          <w:rFonts w:ascii="Times New Roman" w:hAnsi="Times New Roman" w:cs="Times New Roman"/>
        </w:rPr>
      </w:pPr>
      <w:r w:rsidRPr="0067008A">
        <w:rPr>
          <w:rFonts w:ascii="Times New Roman" w:hAnsi="Times New Roman" w:cs="Times New Roman"/>
          <w:lang w:val="es-EC"/>
        </w:rPr>
        <w:t>De modo que no opera lo que proclama el libre mercado, que el propietario privado puede utilizar su riqueza en relación de los intereses económicos individuales y de grupo, sino que debe cumplir las normas jurídicas y las responsabilidades sociales y éticas.</w:t>
      </w:r>
    </w:p>
    <w:p w:rsidR="006A4D59" w:rsidRPr="0067008A" w:rsidRDefault="00921711" w:rsidP="00677E33">
      <w:pPr>
        <w:spacing w:after="240" w:line="360" w:lineRule="auto"/>
        <w:rPr>
          <w:rFonts w:ascii="Times New Roman" w:hAnsi="Times New Roman" w:cs="Times New Roman"/>
        </w:rPr>
      </w:pPr>
      <w:r w:rsidRPr="0067008A">
        <w:rPr>
          <w:rFonts w:ascii="Times New Roman" w:hAnsi="Times New Roman" w:cs="Times New Roman"/>
          <w:lang w:val="es-EC"/>
        </w:rPr>
        <w:t xml:space="preserve">El señor Guillermo Lasso ha reconocido que ha operado en paraísos fiscales y argumenta que no tiene nada que ver porque ya los transfirió a sus hijos y familia. Continúa abierta la pregunta sobre la ubicación de los fondos. La responsabilidad con la sociedad empieza por el traslado de fondos afuera y la falta de compromiso con el desarrollo nacional. La utilización de paraísos fiscales para ocultar sus fondos, recursos, tiene una larga historia. Se naturaliza comportamientos de utilitarismo privado, con desvalorización de la ética y la justicia. </w:t>
      </w:r>
    </w:p>
    <w:p w:rsidR="006A4D59" w:rsidRPr="0067008A" w:rsidRDefault="00921711" w:rsidP="00677E33">
      <w:pPr>
        <w:spacing w:after="240" w:line="360" w:lineRule="auto"/>
        <w:rPr>
          <w:rFonts w:ascii="Times New Roman" w:hAnsi="Times New Roman" w:cs="Times New Roman"/>
        </w:rPr>
      </w:pPr>
      <w:r w:rsidRPr="0067008A">
        <w:rPr>
          <w:rFonts w:ascii="Times New Roman" w:hAnsi="Times New Roman" w:cs="Times New Roman"/>
          <w:lang w:val="es-EC"/>
        </w:rPr>
        <w:t>El Presidente de la República debe mantener un liderazgo ético en el país. El señor Lasso, además de las responsabilidades jurídicas, debiera explicar al país dónde están los fondos cómo sirven al desarrollo del país, cómo promueve</w:t>
      </w:r>
      <w:r w:rsidRPr="0067008A">
        <w:rPr>
          <w:rFonts w:ascii="Times New Roman" w:hAnsi="Times New Roman" w:cs="Times New Roman"/>
          <w:i/>
          <w:lang w:val="es-EC"/>
        </w:rPr>
        <w:t xml:space="preserve"> el bien común y antepone el interés general al interés particular, conforme al buen vivir.</w:t>
      </w:r>
    </w:p>
    <w:p w:rsidR="006A4D59" w:rsidRPr="0067008A" w:rsidRDefault="00921711" w:rsidP="00677E33">
      <w:pPr>
        <w:spacing w:after="240" w:line="360" w:lineRule="auto"/>
        <w:rPr>
          <w:rFonts w:ascii="Times New Roman" w:hAnsi="Times New Roman" w:cs="Times New Roman"/>
        </w:rPr>
      </w:pPr>
      <w:r w:rsidRPr="0067008A">
        <w:rPr>
          <w:rFonts w:ascii="Times New Roman" w:hAnsi="Times New Roman" w:cs="Times New Roman"/>
          <w:lang w:val="es-EC"/>
        </w:rPr>
        <w:t>Las actuaciones probadas afectan a la credibilidad del mandatario, pues, al mismo tiempo envía proyectos de reforma tributaria en las que se impone contribuciones a los diversos sectores sociales y se plantea legalizar la tenencia de fondos offshore.</w:t>
      </w:r>
    </w:p>
    <w:p w:rsidR="006A4D59" w:rsidRPr="0067008A" w:rsidRDefault="006A4D59" w:rsidP="00677E33">
      <w:pPr>
        <w:spacing w:after="240" w:line="360" w:lineRule="auto"/>
        <w:rPr>
          <w:rFonts w:ascii="Times New Roman" w:hAnsi="Times New Roman" w:cs="Times New Roman"/>
          <w:b/>
          <w:color w:val="212121"/>
          <w:highlight w:val="white"/>
          <w:lang w:val="es-EC"/>
        </w:rPr>
      </w:pPr>
    </w:p>
    <w:p w:rsidR="006A4D59" w:rsidRPr="0067008A" w:rsidRDefault="00921711" w:rsidP="00677E33">
      <w:pPr>
        <w:spacing w:after="240" w:line="360" w:lineRule="auto"/>
        <w:rPr>
          <w:rFonts w:ascii="Times New Roman" w:hAnsi="Times New Roman" w:cs="Times New Roman"/>
        </w:rPr>
      </w:pPr>
      <w:r w:rsidRPr="0067008A">
        <w:rPr>
          <w:rFonts w:ascii="Times New Roman" w:hAnsi="Times New Roman" w:cs="Times New Roman"/>
          <w:b/>
          <w:color w:val="212121"/>
          <w:highlight w:val="white"/>
          <w:lang w:val="es-EC"/>
        </w:rPr>
        <w:t>La ética no es un aditamento, sino una condición para la consolidación de la democracia; y es uno de los fundamentos del liderazgo político responsable.</w:t>
      </w:r>
    </w:p>
    <w:p w:rsidR="006A4D59" w:rsidRPr="0067008A" w:rsidRDefault="006A4D59" w:rsidP="00677E33">
      <w:pPr>
        <w:spacing w:after="240" w:line="360" w:lineRule="auto"/>
        <w:jc w:val="both"/>
        <w:rPr>
          <w:rFonts w:ascii="Times New Roman" w:hAnsi="Times New Roman" w:cs="Times New Roman"/>
          <w:b/>
          <w:color w:val="212121"/>
          <w:highlight w:val="green"/>
        </w:rPr>
      </w:pPr>
    </w:p>
    <w:p w:rsidR="006A4D59" w:rsidRPr="0067008A" w:rsidRDefault="006A4D59" w:rsidP="00677E33">
      <w:pPr>
        <w:spacing w:after="240" w:line="360" w:lineRule="auto"/>
        <w:jc w:val="both"/>
        <w:rPr>
          <w:rFonts w:ascii="Times New Roman" w:hAnsi="Times New Roman" w:cs="Times New Roman"/>
          <w:b/>
          <w:color w:val="212121"/>
          <w:highlight w:val="green"/>
        </w:rPr>
      </w:pPr>
    </w:p>
    <w:p w:rsidR="006A4D59" w:rsidRPr="0067008A" w:rsidRDefault="006A4D59" w:rsidP="00677E33">
      <w:pPr>
        <w:spacing w:after="240" w:line="360" w:lineRule="auto"/>
        <w:jc w:val="both"/>
        <w:rPr>
          <w:rFonts w:ascii="Times New Roman" w:hAnsi="Times New Roman" w:cs="Times New Roman"/>
          <w:b/>
          <w:color w:val="212121"/>
          <w:highlight w:val="green"/>
        </w:rPr>
      </w:pPr>
    </w:p>
    <w:p w:rsidR="006A4D59" w:rsidRPr="0067008A" w:rsidRDefault="006A4D59" w:rsidP="00677E33">
      <w:pPr>
        <w:spacing w:after="240" w:line="360" w:lineRule="auto"/>
        <w:jc w:val="both"/>
        <w:rPr>
          <w:rFonts w:ascii="Times New Roman" w:hAnsi="Times New Roman" w:cs="Times New Roman"/>
          <w:b/>
          <w:color w:val="212121"/>
          <w:highlight w:val="green"/>
        </w:rPr>
      </w:pPr>
    </w:p>
    <w:p w:rsidR="006A4D59" w:rsidRPr="0067008A" w:rsidRDefault="006A4D59" w:rsidP="00677E33">
      <w:pPr>
        <w:spacing w:after="240" w:line="360" w:lineRule="auto"/>
        <w:jc w:val="both"/>
        <w:rPr>
          <w:rFonts w:ascii="Times New Roman" w:hAnsi="Times New Roman" w:cs="Times New Roman"/>
          <w:b/>
          <w:color w:val="212121"/>
          <w:highlight w:val="green"/>
        </w:rPr>
        <w:sectPr w:rsidR="006A4D59" w:rsidRPr="0067008A">
          <w:headerReference w:type="even" r:id="rId47"/>
          <w:headerReference w:type="default" r:id="rId48"/>
          <w:footerReference w:type="default" r:id="rId49"/>
          <w:headerReference w:type="first" r:id="rId50"/>
          <w:pgSz w:w="11906" w:h="16838"/>
          <w:pgMar w:top="1440" w:right="1440" w:bottom="1440" w:left="1440" w:header="0" w:footer="720" w:gutter="0"/>
          <w:cols w:space="720"/>
          <w:formProt w:val="0"/>
          <w:docGrid w:linePitch="100" w:charSpace="4096"/>
        </w:sectPr>
      </w:pPr>
    </w:p>
    <w:p w:rsidR="006A4D59" w:rsidRPr="0067008A" w:rsidRDefault="006A4D59" w:rsidP="00677E33">
      <w:pPr>
        <w:spacing w:after="240" w:line="360" w:lineRule="auto"/>
        <w:rPr>
          <w:rFonts w:ascii="Times New Roman" w:hAnsi="Times New Roman" w:cs="Times New Roman"/>
          <w:b/>
        </w:rPr>
      </w:pPr>
    </w:p>
    <w:p w:rsidR="006A4D59" w:rsidRPr="0067008A" w:rsidRDefault="006A4D59" w:rsidP="00677E33">
      <w:pPr>
        <w:spacing w:after="240" w:line="360" w:lineRule="auto"/>
        <w:rPr>
          <w:rFonts w:ascii="Times New Roman" w:hAnsi="Times New Roman" w:cs="Times New Roman"/>
          <w:b/>
        </w:rPr>
      </w:pPr>
    </w:p>
    <w:p w:rsidR="006A4D59" w:rsidRPr="0067008A" w:rsidRDefault="00921711" w:rsidP="00677E33">
      <w:pPr>
        <w:spacing w:after="240" w:line="360" w:lineRule="auto"/>
        <w:rPr>
          <w:rFonts w:ascii="Times New Roman" w:hAnsi="Times New Roman" w:cs="Times New Roman"/>
        </w:rPr>
      </w:pPr>
      <w:r w:rsidRPr="0067008A">
        <w:rPr>
          <w:rFonts w:ascii="Times New Roman" w:hAnsi="Times New Roman" w:cs="Times New Roman"/>
          <w:b/>
        </w:rPr>
        <w:t>CONCLUSIONES</w:t>
      </w:r>
    </w:p>
    <w:p w:rsidR="006A4D59" w:rsidRPr="0067008A" w:rsidRDefault="006A4D59" w:rsidP="00677E33">
      <w:pPr>
        <w:spacing w:after="240" w:line="360" w:lineRule="auto"/>
        <w:rPr>
          <w:rFonts w:ascii="Times New Roman" w:hAnsi="Times New Roman" w:cs="Times New Roman"/>
        </w:rPr>
      </w:pPr>
    </w:p>
    <w:p w:rsidR="006A4D59" w:rsidRPr="00CC67C2" w:rsidRDefault="00921711" w:rsidP="00C3309A">
      <w:pPr>
        <w:pStyle w:val="Prrafodelista"/>
        <w:numPr>
          <w:ilvl w:val="0"/>
          <w:numId w:val="45"/>
        </w:numPr>
        <w:tabs>
          <w:tab w:val="left" w:pos="5205"/>
        </w:tabs>
        <w:spacing w:after="240" w:line="360" w:lineRule="auto"/>
        <w:contextualSpacing w:val="0"/>
        <w:jc w:val="both"/>
        <w:rPr>
          <w:color w:val="000000"/>
          <w:sz w:val="22"/>
        </w:rPr>
      </w:pPr>
      <w:r w:rsidRPr="00CC67C2">
        <w:rPr>
          <w:color w:val="000000"/>
          <w:sz w:val="22"/>
        </w:rPr>
        <w:t>El 03 de octubre de 2021, el Consorcio Internacional de Periodistas de Investigación ICIJ (por sus siglas en inglés), realizó una difusión masiva en los medios de comunicación más importantes del mundo, de una serie de documentos que dejan al descubierto los secretos financieros en el uso de compañías off shore en paraísos fiscales, develando la riqueza secreta y los mecanismos de evasión y elusión de impuestos que involucra a personalidades mundiales, entre ellos, varios jefes de Estado, entre los que se encuentra el actual Presidente Constitucional del Ecuador, Sr. Guillermo Lasso Mendoza. Esta filtración fue denominada “Pandora Papers”;</w:t>
      </w:r>
    </w:p>
    <w:p w:rsidR="006A4D59" w:rsidRPr="00CC67C2" w:rsidRDefault="00921711" w:rsidP="00C3309A">
      <w:pPr>
        <w:pStyle w:val="Prrafodelista"/>
        <w:numPr>
          <w:ilvl w:val="0"/>
          <w:numId w:val="45"/>
        </w:numPr>
        <w:tabs>
          <w:tab w:val="left" w:pos="5205"/>
        </w:tabs>
        <w:spacing w:after="240" w:line="360" w:lineRule="auto"/>
        <w:contextualSpacing w:val="0"/>
        <w:jc w:val="both"/>
        <w:rPr>
          <w:color w:val="000000"/>
          <w:sz w:val="22"/>
        </w:rPr>
      </w:pPr>
      <w:r w:rsidRPr="00CC67C2">
        <w:rPr>
          <w:color w:val="000000"/>
          <w:sz w:val="22"/>
        </w:rPr>
        <w:t xml:space="preserve">El día 04 de octubre de 2021, el diario El UNIVERSO de Ecuador, en un artículo suscrito por la Periodista Mónica Almeida, Jefa de redacción de El UNIVERSO y parte del equipo de investigación de la ICIJ, dio a conocer la filtración de documentos que vinculan al actual Presidente del Estado ecuatoriano, Guillermo Lasso Mendoza, con la acusación de uso de compañías off shore en paraísos fiscales, a través de la conformación de varias empresas, fideicomisos y sociedades anónimas en Panamá, Dakota del Sur y Delaware en Estados Unidos. </w:t>
      </w:r>
    </w:p>
    <w:p w:rsidR="006A4D59" w:rsidRPr="00CC67C2" w:rsidRDefault="00921711" w:rsidP="00C3309A">
      <w:pPr>
        <w:pStyle w:val="Prrafodelista"/>
        <w:numPr>
          <w:ilvl w:val="0"/>
          <w:numId w:val="45"/>
        </w:numPr>
        <w:tabs>
          <w:tab w:val="left" w:pos="5205"/>
        </w:tabs>
        <w:spacing w:after="240" w:line="360" w:lineRule="auto"/>
        <w:contextualSpacing w:val="0"/>
        <w:jc w:val="both"/>
        <w:rPr>
          <w:color w:val="000000"/>
          <w:sz w:val="22"/>
        </w:rPr>
      </w:pPr>
      <w:r w:rsidRPr="00CC67C2">
        <w:rPr>
          <w:color w:val="000000"/>
          <w:sz w:val="22"/>
        </w:rPr>
        <w:t>Al respecto, el 19 de febrero del año 2017 se efectuó una consulta popular, en cuya exposición de motivo establece que “</w:t>
      </w:r>
      <w:r w:rsidRPr="00CC67C2">
        <w:rPr>
          <w:i/>
          <w:color w:val="000000"/>
          <w:sz w:val="22"/>
          <w:lang w:val="es-ES"/>
        </w:rPr>
        <w:t>los paraísos fiscales facilitan el aumento de la concentración de la riqueza y ahondan las desigualdades sociales, habilitan a los que más poseen para mover su riqueza a lugares donde no tienen que declararla y así evitar cargas fiscales, en perjuicio de sus conciudadanos, para pagar menos en proporción a su renta, contribuyendo así a agravar la desigualdad</w:t>
      </w:r>
      <w:r w:rsidRPr="00CC67C2">
        <w:rPr>
          <w:color w:val="000000"/>
          <w:sz w:val="22"/>
          <w:lang w:val="es-ES"/>
        </w:rPr>
        <w:t>”. En consecuencia,</w:t>
      </w:r>
      <w:r w:rsidR="00677E33" w:rsidRPr="00CC67C2">
        <w:rPr>
          <w:color w:val="000000"/>
          <w:sz w:val="22"/>
          <w:lang w:val="es-ES"/>
        </w:rPr>
        <w:t xml:space="preserve"> </w:t>
      </w:r>
      <w:r w:rsidRPr="00CC67C2">
        <w:rPr>
          <w:color w:val="000000"/>
          <w:sz w:val="22"/>
        </w:rPr>
        <w:t>se le preguntó al pueblo ecuatoriano, si estaba de acuerdo en que para desempeñar una dignidad de elección popular o para ser servidor público, se establezca como prohibición tener bienes o capitales, de cualquier naturaleza, en paraísos fiscales. La consulta fue avalada por decisión mayoritaria, por lo que el 8 de septiembre de 2017 se publicó en el Registro Oficial No. 75 la Ley Orgánica para la Aplicación de la Consulta Popular efectuada el 19 de febrero de 2017;</w:t>
      </w:r>
    </w:p>
    <w:p w:rsidR="006A4D59" w:rsidRPr="00CC67C2" w:rsidRDefault="006A4D59" w:rsidP="00677E33">
      <w:pPr>
        <w:pStyle w:val="Prrafodelista"/>
        <w:tabs>
          <w:tab w:val="left" w:pos="5205"/>
        </w:tabs>
        <w:spacing w:after="240" w:line="360" w:lineRule="auto"/>
        <w:contextualSpacing w:val="0"/>
        <w:jc w:val="both"/>
        <w:rPr>
          <w:color w:val="000000"/>
          <w:sz w:val="22"/>
        </w:rPr>
      </w:pPr>
    </w:p>
    <w:p w:rsidR="006A4D59" w:rsidRPr="00CC67C2" w:rsidRDefault="006A4D59" w:rsidP="00677E33">
      <w:pPr>
        <w:pStyle w:val="Prrafodelista"/>
        <w:tabs>
          <w:tab w:val="left" w:pos="5205"/>
        </w:tabs>
        <w:spacing w:after="240" w:line="360" w:lineRule="auto"/>
        <w:contextualSpacing w:val="0"/>
        <w:jc w:val="both"/>
        <w:rPr>
          <w:color w:val="000000"/>
          <w:sz w:val="22"/>
        </w:rPr>
      </w:pPr>
    </w:p>
    <w:p w:rsidR="006A4D59" w:rsidRPr="00CC67C2" w:rsidRDefault="00921711" w:rsidP="00C3309A">
      <w:pPr>
        <w:pStyle w:val="Prrafodelista"/>
        <w:numPr>
          <w:ilvl w:val="0"/>
          <w:numId w:val="45"/>
        </w:numPr>
        <w:tabs>
          <w:tab w:val="left" w:pos="5205"/>
        </w:tabs>
        <w:spacing w:after="240" w:line="360" w:lineRule="auto"/>
        <w:contextualSpacing w:val="0"/>
        <w:jc w:val="both"/>
        <w:rPr>
          <w:color w:val="000000"/>
          <w:sz w:val="22"/>
        </w:rPr>
      </w:pPr>
      <w:r w:rsidRPr="00CC67C2">
        <w:rPr>
          <w:color w:val="000000"/>
          <w:sz w:val="22"/>
        </w:rPr>
        <w:t>El 07 de octubre de 2021, la Asamblea Nacional aprobó la propuesta de resolución presentada por el Asambleísta Rony Aleaga, quien solicitó al Pleno de la Asamblea Nacional que defina una Comisión Permanente de la Asamblea Nacional para que dé tratamiento al análisis de la información contenida en la investigación “Pandora Papers” y establezca conclusiones y recomendaciones al efecto;</w:t>
      </w:r>
    </w:p>
    <w:p w:rsidR="006A4D59" w:rsidRPr="00CC67C2" w:rsidRDefault="00921711" w:rsidP="00C3309A">
      <w:pPr>
        <w:pStyle w:val="Prrafodelista"/>
        <w:numPr>
          <w:ilvl w:val="0"/>
          <w:numId w:val="45"/>
        </w:numPr>
        <w:tabs>
          <w:tab w:val="left" w:pos="5205"/>
        </w:tabs>
        <w:spacing w:after="240" w:line="360" w:lineRule="auto"/>
        <w:contextualSpacing w:val="0"/>
        <w:jc w:val="both"/>
        <w:rPr>
          <w:color w:val="000000"/>
          <w:sz w:val="22"/>
        </w:rPr>
      </w:pPr>
      <w:r w:rsidRPr="00CC67C2">
        <w:rPr>
          <w:color w:val="000000"/>
          <w:sz w:val="22"/>
        </w:rPr>
        <w:t>El Pleno de la Asamblea Nacional, mediante resolución RL-2021-2023-032, del 07 de octubre de 2021, de su parte dispuso: “Requerir a la Comisión Especializada Permanente de Garantías Constitucionales, Derechos Humanos, Derechos Colectivos y la Interculturalidad, efectúe la investigación correspondiente del caso denominado “PANDORA PAPERS”, por ser un hecho de gran interés ciudadano que ha generado conmoción social; y, en cumplimiento de su temática y funciones (…) solicite las comparecencias y formule los pedidos de información que consideren necesarios (…) con el fin de esclarecer la vinculación del Presidente de la República, Guillermo Lasso Mendoza (…) relacionada con el uso de empresas fantasma en paraísos fiscales y los fines de las mismas”;</w:t>
      </w:r>
    </w:p>
    <w:p w:rsidR="006A4D59" w:rsidRPr="00CC67C2" w:rsidRDefault="00921711" w:rsidP="00C3309A">
      <w:pPr>
        <w:pStyle w:val="Prrafodelista"/>
        <w:numPr>
          <w:ilvl w:val="0"/>
          <w:numId w:val="45"/>
        </w:numPr>
        <w:tabs>
          <w:tab w:val="left" w:pos="5205"/>
        </w:tabs>
        <w:spacing w:after="240" w:line="360" w:lineRule="auto"/>
        <w:contextualSpacing w:val="0"/>
        <w:jc w:val="both"/>
        <w:rPr>
          <w:color w:val="000000"/>
          <w:sz w:val="22"/>
        </w:rPr>
      </w:pPr>
      <w:r w:rsidRPr="00CC67C2">
        <w:rPr>
          <w:color w:val="000000"/>
          <w:sz w:val="22"/>
        </w:rPr>
        <w:t>El día 08 de octubre la Secretaría General de la Asamblea Nacional notificó la resolución del Pleno de la Asamblea a la Comisión Especializada Permanente de Garantías Constitucionales, Derechos Humanos, Derechos Colectivos y la Interculturalidad. Esta Comisión en sesión ordinaria del 11 de octubre de 2021, abocó conocimiento de esta disposición;</w:t>
      </w:r>
    </w:p>
    <w:p w:rsidR="006A4D59" w:rsidRPr="00CC67C2" w:rsidRDefault="00921711" w:rsidP="00C3309A">
      <w:pPr>
        <w:pStyle w:val="Prrafodelista"/>
        <w:numPr>
          <w:ilvl w:val="0"/>
          <w:numId w:val="45"/>
        </w:numPr>
        <w:tabs>
          <w:tab w:val="left" w:pos="5205"/>
        </w:tabs>
        <w:spacing w:after="240" w:line="360" w:lineRule="auto"/>
        <w:contextualSpacing w:val="0"/>
        <w:jc w:val="both"/>
        <w:rPr>
          <w:color w:val="000000"/>
          <w:sz w:val="22"/>
        </w:rPr>
      </w:pPr>
      <w:r w:rsidRPr="00CC67C2">
        <w:rPr>
          <w:color w:val="000000"/>
          <w:sz w:val="22"/>
        </w:rPr>
        <w:t>El 13 de octubre la Comisión Especializada Permanente de Garantías Constitucionales, Derechos Humanos, Derechos Colectivos y la Interculturalidad, aprueba el Plan de Trabajo con su respectivo cronograma;</w:t>
      </w:r>
    </w:p>
    <w:p w:rsidR="006A4D59" w:rsidRPr="00CC67C2" w:rsidRDefault="00921711" w:rsidP="00C3309A">
      <w:pPr>
        <w:pStyle w:val="Prrafodelista"/>
        <w:numPr>
          <w:ilvl w:val="0"/>
          <w:numId w:val="45"/>
        </w:numPr>
        <w:tabs>
          <w:tab w:val="left" w:pos="5205"/>
        </w:tabs>
        <w:spacing w:after="240" w:line="360" w:lineRule="auto"/>
        <w:contextualSpacing w:val="0"/>
        <w:jc w:val="both"/>
        <w:rPr>
          <w:color w:val="000000"/>
          <w:sz w:val="22"/>
        </w:rPr>
      </w:pPr>
      <w:r w:rsidRPr="00CC67C2">
        <w:rPr>
          <w:color w:val="000000"/>
          <w:sz w:val="22"/>
        </w:rPr>
        <w:t>Con fecha 18 de octubre la Comisión Especializada Permanente de Garantías Constitucionales, Derechos Humanos, Derechos Colectivos y la Interculturalidad, inició el proceso de comparecencias, y la recopilación de la información en conformidad con lo establecido por la resolución de la Asamblea Nacional, proceso que dura hasta el 28 de octubre de 2021;</w:t>
      </w:r>
    </w:p>
    <w:p w:rsidR="006A4D59" w:rsidRPr="00CC67C2" w:rsidRDefault="00921711" w:rsidP="00C3309A">
      <w:pPr>
        <w:pStyle w:val="Prrafodelista"/>
        <w:numPr>
          <w:ilvl w:val="0"/>
          <w:numId w:val="45"/>
        </w:numPr>
        <w:tabs>
          <w:tab w:val="left" w:pos="5205"/>
        </w:tabs>
        <w:spacing w:after="240" w:line="360" w:lineRule="auto"/>
        <w:contextualSpacing w:val="0"/>
        <w:jc w:val="both"/>
        <w:rPr>
          <w:color w:val="000000"/>
          <w:sz w:val="22"/>
        </w:rPr>
      </w:pPr>
      <w:r w:rsidRPr="00CC67C2">
        <w:rPr>
          <w:color w:val="000000"/>
          <w:sz w:val="22"/>
        </w:rPr>
        <w:t>El día 15 de octubre mediante oficio AN-CGDI-2021-0086-O, el Presidente de la Comisión Especializada Permanente de Garantías Constitucionales, Derechos Humanos, Derechos Colectivos y la Interculturalidad, Sr. José Fernando Cabascango Collaguazo, invitó al Sr. Presidente de la República a comparecer al seno de la Comisión para que rinda su versión sobre el caso. El Presidente de la República, en oficio s/n de fecha 20 de octubre de 2021, respondió a la Comisión lo siguiente: “</w:t>
      </w:r>
      <w:r w:rsidRPr="00CC67C2">
        <w:rPr>
          <w:i/>
          <w:color w:val="000000"/>
          <w:sz w:val="22"/>
        </w:rPr>
        <w:t>No puedo dejar de advertir en adición que tal como señala su oficio el pleno de la Asamblea Nacional resolvió que se efectúe una investigación relacionada con los “Pandora Papers” dada una supuesta seria “conmoción social”, lenguaje con el que se intenta circunvalar el procedimiento legalmente establecido para destituir a funcionarios que incumplan la ley orgánica para la aplicación de la consulta popular efectuada el 19 de febrero de 2017. La respuesta que en esta ocasión respetuosamente dirijo a usted, Sr. Presidente de la Comisión, la remito con el fin de contribuir con la investigación que se está llevando a cabo, pero expresamente manifiesto que ni la Asamblea Nacional ni la Comisión son órganos competentes para investigar las causas relativas con incumplimientos a la referida ley”. “Por el contrario, la indicada ley, en su artículo 9 concede competencia privativa en estos asuntos a la Contraloría General del Estado, entidad que por pedido mío ya inició una investigación en la que aportaré todos los descargos que fueran pertinentes, habida cuenta que ahí sí se me ha concedido un término probatorio que es condigno con la seriedad de ese asunto y el debido proceso”… “Sin perjuicio de la competencia privativa de la Contraloría antes señalada en cuanto a la comparecencia que se me ha requerido, mediante oficio AN-CGCDHCI-2021-0095-O del 18 de octubre de 2021, para que el día de hoy, me permito corroborar mi disponibilidad para recibir en el Palacio Presidencial a los distinguidos miembros de la Comisión presidida por usted, pero una vez que se hayan evacuado todas las comparecencias previstas en el cronograma de trabajo, pues tengo pleno derecho a conocer con anterioridad las aseveraciones que hayan sido dadas en dicho foro”.</w:t>
      </w:r>
    </w:p>
    <w:p w:rsidR="006A4D59" w:rsidRPr="00CC67C2" w:rsidRDefault="00921711" w:rsidP="00C3309A">
      <w:pPr>
        <w:pStyle w:val="Prrafodelista"/>
        <w:numPr>
          <w:ilvl w:val="0"/>
          <w:numId w:val="45"/>
        </w:numPr>
        <w:tabs>
          <w:tab w:val="left" w:pos="5205"/>
        </w:tabs>
        <w:spacing w:after="240" w:line="360" w:lineRule="auto"/>
        <w:contextualSpacing w:val="0"/>
        <w:jc w:val="both"/>
        <w:rPr>
          <w:color w:val="000000"/>
          <w:sz w:val="22"/>
        </w:rPr>
      </w:pPr>
      <w:r w:rsidRPr="00CC67C2">
        <w:rPr>
          <w:color w:val="000000"/>
          <w:sz w:val="22"/>
        </w:rPr>
        <w:t xml:space="preserve">La Comisión Especializada Permanente de Garantías Constitucionales, Derechos Humanos, Derechos Colectivos y la Interculturalidad, al contrario de la opinión expresada por el Presidente de la República, sí tiene la capacidad jurídica, establecida por el Artículo 120.8 de la Constitución y por el Art. 74 la ley Orgánica de la Función Legislativa y su reglamento, para fiscalizar y legislar; y, además, tiene la competencia por delegación del Pleno de la Asamblea Nacional para conocer, investigar, analizar y emitir conclusiones, recomendaciones y presentar un proyecto de resolución al Pleno de la Asamblea Nacional en el caso </w:t>
      </w:r>
      <w:r w:rsidRPr="00CC67C2">
        <w:rPr>
          <w:i/>
          <w:color w:val="000000"/>
          <w:sz w:val="22"/>
        </w:rPr>
        <w:t xml:space="preserve">denominado “Pandora Papers”, y </w:t>
      </w:r>
      <w:r w:rsidRPr="00CC67C2">
        <w:rPr>
          <w:color w:val="000000"/>
          <w:sz w:val="22"/>
        </w:rPr>
        <w:t>con ello esclarecer la posible vinculación del Presidente de la República Guillermo Lasso Mendoza, relacionada con el uso de empresas fantasma en paraísos fiscales y los fines de las mismas;</w:t>
      </w:r>
      <w:r w:rsidRPr="00CC67C2">
        <w:rPr>
          <w:i/>
          <w:color w:val="000000"/>
          <w:sz w:val="22"/>
        </w:rPr>
        <w:t xml:space="preserve"> </w:t>
      </w:r>
    </w:p>
    <w:p w:rsidR="006A4D59" w:rsidRPr="00CC67C2" w:rsidRDefault="00921711" w:rsidP="00C3309A">
      <w:pPr>
        <w:pStyle w:val="Prrafodelista"/>
        <w:numPr>
          <w:ilvl w:val="0"/>
          <w:numId w:val="45"/>
        </w:numPr>
        <w:spacing w:after="240" w:line="360" w:lineRule="auto"/>
        <w:contextualSpacing w:val="0"/>
        <w:jc w:val="both"/>
        <w:rPr>
          <w:color w:val="000000"/>
          <w:sz w:val="22"/>
        </w:rPr>
      </w:pPr>
      <w:r w:rsidRPr="00CC67C2">
        <w:rPr>
          <w:color w:val="000000"/>
          <w:sz w:val="22"/>
        </w:rPr>
        <w:t>Con base a la información recabada y a la documentación remitida a la Comisión, se pudo establecer que hay una vinculación</w:t>
      </w:r>
      <w:r w:rsidR="00677E33" w:rsidRPr="00CC67C2">
        <w:rPr>
          <w:color w:val="000000"/>
          <w:sz w:val="22"/>
        </w:rPr>
        <w:t xml:space="preserve"> </w:t>
      </w:r>
      <w:r w:rsidRPr="00CC67C2">
        <w:rPr>
          <w:color w:val="000000"/>
          <w:sz w:val="22"/>
        </w:rPr>
        <w:t>directa entre el Sr. Presidente de la República Guillermo Lasso Mendoza, como accionista mayoritario de la Corporación MULTIBG S.A., con el Grupo Financiero Banco de Guayaquil, que, además, actúa como entidad controladora y que agrupa a las empresas: Administradora de Fondos BG, Casa de Valores Multivalores BG, y COLARI S.A., BANISI y BANISI HOLDING domiciliadas en Panamá, entre otras;</w:t>
      </w:r>
    </w:p>
    <w:p w:rsidR="006A4D59" w:rsidRPr="00CC67C2" w:rsidRDefault="006A4D59" w:rsidP="00677E33">
      <w:pPr>
        <w:pStyle w:val="Prrafodelista"/>
        <w:tabs>
          <w:tab w:val="left" w:pos="5205"/>
        </w:tabs>
        <w:spacing w:after="240" w:line="360" w:lineRule="auto"/>
        <w:contextualSpacing w:val="0"/>
        <w:jc w:val="both"/>
        <w:rPr>
          <w:color w:val="000000"/>
          <w:sz w:val="22"/>
        </w:rPr>
      </w:pPr>
    </w:p>
    <w:p w:rsidR="006A4D59" w:rsidRPr="00CC67C2" w:rsidRDefault="00921711" w:rsidP="00C3309A">
      <w:pPr>
        <w:pStyle w:val="Prrafodelista"/>
        <w:numPr>
          <w:ilvl w:val="1"/>
          <w:numId w:val="45"/>
        </w:numPr>
        <w:tabs>
          <w:tab w:val="left" w:pos="5205"/>
        </w:tabs>
        <w:spacing w:after="240" w:line="360" w:lineRule="auto"/>
        <w:contextualSpacing w:val="0"/>
        <w:jc w:val="both"/>
        <w:rPr>
          <w:color w:val="000000"/>
          <w:sz w:val="22"/>
        </w:rPr>
      </w:pPr>
      <w:r w:rsidRPr="00CC67C2">
        <w:rPr>
          <w:color w:val="000000"/>
          <w:sz w:val="22"/>
        </w:rPr>
        <w:t>OJO: EL SRI TIENE REGISTRADO DE ESTA FORMA EL NOMBRE COMPLETO DEL GRUPO ECONÓMICO “BANCO DE GUAYAQUIL (CORPORACION MULTIBG, FIDEICOMISO MERCANTIL DE ADMINISTRACION GLM, PROMOQUIL, FIDEICOMISO MERCANTIL DE ADMINISTRACION MELM)” EN ESE GRUPO SE ENCUENTRAN BANISI y BANISI HOLDING domiciliadas en Panamá, RECONOCIDAS POR EL SRI COMO PARAÍSOS FISCALES.</w:t>
      </w:r>
    </w:p>
    <w:p w:rsidR="006A4D59" w:rsidRPr="00CC67C2" w:rsidRDefault="00921711" w:rsidP="00C3309A">
      <w:pPr>
        <w:pStyle w:val="Prrafodelista"/>
        <w:numPr>
          <w:ilvl w:val="0"/>
          <w:numId w:val="45"/>
        </w:numPr>
        <w:tabs>
          <w:tab w:val="left" w:pos="5205"/>
        </w:tabs>
        <w:spacing w:after="240" w:line="360" w:lineRule="auto"/>
        <w:contextualSpacing w:val="0"/>
        <w:jc w:val="both"/>
        <w:rPr>
          <w:color w:val="000000"/>
          <w:sz w:val="22"/>
        </w:rPr>
      </w:pPr>
      <w:r w:rsidRPr="00CC67C2">
        <w:rPr>
          <w:color w:val="000000"/>
          <w:sz w:val="22"/>
        </w:rPr>
        <w:t>Los datos recabados en la investigación realizada muestran que la estructura accionaria del Grupo Económico Banco de Guayaquil-CORPORACIÓN MULTIBG S.A., la familia Lasso (Lasso Mendoza y Lasso Alcívar) posee el 90,2% de las acciones del grupo (con datos al 18 de febrero de 2021), repartidas de la siguiente manera:</w:t>
      </w:r>
    </w:p>
    <w:p w:rsidR="006A4D59" w:rsidRPr="00CC67C2" w:rsidRDefault="00921711" w:rsidP="00C3309A">
      <w:pPr>
        <w:pStyle w:val="Prrafodelista"/>
        <w:numPr>
          <w:ilvl w:val="0"/>
          <w:numId w:val="46"/>
        </w:numPr>
        <w:spacing w:after="240" w:line="360" w:lineRule="auto"/>
        <w:contextualSpacing w:val="0"/>
        <w:jc w:val="both"/>
        <w:rPr>
          <w:color w:val="000000"/>
          <w:sz w:val="22"/>
        </w:rPr>
      </w:pPr>
      <w:r w:rsidRPr="00CC67C2">
        <w:rPr>
          <w:color w:val="000000"/>
          <w:sz w:val="22"/>
        </w:rPr>
        <w:t>Fideicomiso Mercantil de Administración GLM: 39,6%</w:t>
      </w:r>
    </w:p>
    <w:p w:rsidR="006A4D59" w:rsidRPr="00CC67C2" w:rsidRDefault="00921711" w:rsidP="00C3309A">
      <w:pPr>
        <w:pStyle w:val="Prrafodelista"/>
        <w:numPr>
          <w:ilvl w:val="0"/>
          <w:numId w:val="46"/>
        </w:numPr>
        <w:spacing w:after="240" w:line="360" w:lineRule="auto"/>
        <w:contextualSpacing w:val="0"/>
        <w:jc w:val="both"/>
        <w:rPr>
          <w:color w:val="000000"/>
          <w:sz w:val="22"/>
        </w:rPr>
      </w:pPr>
      <w:r w:rsidRPr="00CC67C2">
        <w:rPr>
          <w:color w:val="000000"/>
          <w:sz w:val="22"/>
        </w:rPr>
        <w:t xml:space="preserve">Fideicomiso Mercantil de Administración MELM: 16,6% </w:t>
      </w:r>
    </w:p>
    <w:p w:rsidR="006A4D59" w:rsidRPr="00CC67C2" w:rsidRDefault="00921711" w:rsidP="00C3309A">
      <w:pPr>
        <w:pStyle w:val="Prrafodelista"/>
        <w:numPr>
          <w:ilvl w:val="0"/>
          <w:numId w:val="46"/>
        </w:numPr>
        <w:spacing w:after="240" w:line="360" w:lineRule="auto"/>
        <w:contextualSpacing w:val="0"/>
        <w:jc w:val="both"/>
        <w:rPr>
          <w:color w:val="000000"/>
          <w:sz w:val="22"/>
        </w:rPr>
      </w:pPr>
      <w:r w:rsidRPr="00CC67C2">
        <w:rPr>
          <w:color w:val="000000"/>
          <w:sz w:val="22"/>
        </w:rPr>
        <w:t>Fideicomiso Mercantil de Administración CLM-MMS: 14,7%</w:t>
      </w:r>
    </w:p>
    <w:p w:rsidR="006A4D59" w:rsidRPr="00CC67C2" w:rsidRDefault="00921711" w:rsidP="00C3309A">
      <w:pPr>
        <w:pStyle w:val="Prrafodelista"/>
        <w:numPr>
          <w:ilvl w:val="0"/>
          <w:numId w:val="46"/>
        </w:numPr>
        <w:spacing w:after="240" w:line="360" w:lineRule="auto"/>
        <w:contextualSpacing w:val="0"/>
        <w:jc w:val="both"/>
        <w:rPr>
          <w:color w:val="000000"/>
          <w:sz w:val="22"/>
        </w:rPr>
      </w:pPr>
      <w:r w:rsidRPr="00CC67C2">
        <w:rPr>
          <w:color w:val="000000"/>
          <w:sz w:val="22"/>
        </w:rPr>
        <w:t>Fideicomiso Mercantil de Administración DCD-UNO: 3,9%</w:t>
      </w:r>
    </w:p>
    <w:p w:rsidR="006A4D59" w:rsidRPr="00CC67C2" w:rsidRDefault="00921711" w:rsidP="00C3309A">
      <w:pPr>
        <w:pStyle w:val="Prrafodelista"/>
        <w:numPr>
          <w:ilvl w:val="0"/>
          <w:numId w:val="46"/>
        </w:numPr>
        <w:spacing w:after="240" w:line="360" w:lineRule="auto"/>
        <w:contextualSpacing w:val="0"/>
        <w:jc w:val="both"/>
        <w:rPr>
          <w:color w:val="000000"/>
          <w:sz w:val="22"/>
        </w:rPr>
      </w:pPr>
      <w:r w:rsidRPr="00CC67C2">
        <w:rPr>
          <w:color w:val="000000"/>
          <w:sz w:val="22"/>
        </w:rPr>
        <w:t>Fideicomiso Mercantil de Administración DCD-DOS: 2,6%</w:t>
      </w:r>
    </w:p>
    <w:p w:rsidR="006A4D59" w:rsidRPr="00CC67C2" w:rsidRDefault="00921711" w:rsidP="00C3309A">
      <w:pPr>
        <w:pStyle w:val="Prrafodelista"/>
        <w:numPr>
          <w:ilvl w:val="0"/>
          <w:numId w:val="46"/>
        </w:numPr>
        <w:spacing w:after="240" w:line="360" w:lineRule="auto"/>
        <w:contextualSpacing w:val="0"/>
        <w:jc w:val="both"/>
        <w:rPr>
          <w:color w:val="000000"/>
          <w:sz w:val="22"/>
        </w:rPr>
      </w:pPr>
      <w:r w:rsidRPr="00CC67C2">
        <w:rPr>
          <w:color w:val="000000"/>
          <w:sz w:val="22"/>
        </w:rPr>
        <w:t>Fideicomiso Mercantil de Administración JME: 2,6%</w:t>
      </w:r>
    </w:p>
    <w:p w:rsidR="006A4D59" w:rsidRPr="00CC67C2" w:rsidRDefault="00921711" w:rsidP="00C3309A">
      <w:pPr>
        <w:pStyle w:val="Prrafodelista"/>
        <w:numPr>
          <w:ilvl w:val="0"/>
          <w:numId w:val="46"/>
        </w:numPr>
        <w:spacing w:after="240" w:line="360" w:lineRule="auto"/>
        <w:contextualSpacing w:val="0"/>
        <w:jc w:val="both"/>
        <w:rPr>
          <w:color w:val="000000"/>
          <w:sz w:val="22"/>
        </w:rPr>
      </w:pPr>
      <w:r w:rsidRPr="00CC67C2">
        <w:rPr>
          <w:color w:val="000000"/>
          <w:sz w:val="22"/>
        </w:rPr>
        <w:t>PROMOQUIL: 10,5%;</w:t>
      </w:r>
    </w:p>
    <w:p w:rsidR="006A4D59" w:rsidRPr="00CC67C2" w:rsidRDefault="00921711" w:rsidP="00677E33">
      <w:pPr>
        <w:spacing w:after="240" w:line="360" w:lineRule="auto"/>
        <w:ind w:left="708"/>
        <w:jc w:val="both"/>
        <w:rPr>
          <w:rFonts w:ascii="Times New Roman" w:hAnsi="Times New Roman" w:cs="Times New Roman"/>
          <w:color w:val="000000"/>
        </w:rPr>
      </w:pPr>
      <w:r w:rsidRPr="00CC67C2">
        <w:rPr>
          <w:rFonts w:ascii="Times New Roman" w:hAnsi="Times New Roman" w:cs="Times New Roman"/>
          <w:color w:val="000000"/>
        </w:rPr>
        <w:t>La investigación realizada da cuenta que las siglas GLM corresponden a Guillermo Lasso Mendoza; CLM corresponden a Carlos Lasso Mendoza; MELM corresponde a María Eugenia Lasso Mendoza. Los otros fideicomisos corresponden a la esposa y a los hijos de Guillermo Lasso Mendoza. La Corporación MULTIBG S.A., es una sociedad por acciones, y posee, al año 2021, el 80,80% de las acciones del Banco de Guayaquil.;</w:t>
      </w:r>
    </w:p>
    <w:p w:rsidR="006A4D59" w:rsidRPr="00CC67C2" w:rsidRDefault="00921711" w:rsidP="00C3309A">
      <w:pPr>
        <w:pStyle w:val="Prrafodelista"/>
        <w:numPr>
          <w:ilvl w:val="0"/>
          <w:numId w:val="45"/>
        </w:numPr>
        <w:tabs>
          <w:tab w:val="left" w:pos="5205"/>
        </w:tabs>
        <w:spacing w:after="240" w:line="360" w:lineRule="auto"/>
        <w:jc w:val="both"/>
        <w:rPr>
          <w:color w:val="000000"/>
          <w:sz w:val="22"/>
        </w:rPr>
      </w:pPr>
      <w:r w:rsidRPr="00CC67C2">
        <w:rPr>
          <w:color w:val="000000"/>
          <w:sz w:val="22"/>
        </w:rPr>
        <w:t>En conformidad con el estatuto de gobernanza de las empresas privadas y sociedades financieras definida en el ordenamiento jurídico vigente, las decisiones de una empresa constituida por acciones, se toman en función del número mayoritario de accionistas que las suscriban; por tanto, es imposible que una empresa regida por acciones pueda tomar decisiones en contra de los criterios de sus accionistas mayoritarios o sin su conocimiento (Artículos 230, 231, 240 y 249 de la Ley de Compañías);</w:t>
      </w:r>
    </w:p>
    <w:p w:rsidR="006A4D59" w:rsidRPr="00CC67C2" w:rsidRDefault="006A4D59" w:rsidP="00677E33">
      <w:pPr>
        <w:pStyle w:val="Prrafodelista"/>
        <w:tabs>
          <w:tab w:val="left" w:pos="5205"/>
        </w:tabs>
        <w:spacing w:after="240" w:line="360" w:lineRule="auto"/>
        <w:contextualSpacing w:val="0"/>
        <w:jc w:val="both"/>
        <w:rPr>
          <w:color w:val="000000"/>
          <w:sz w:val="22"/>
        </w:rPr>
      </w:pPr>
    </w:p>
    <w:p w:rsidR="006A4D59" w:rsidRPr="00CC67C2" w:rsidRDefault="00921711" w:rsidP="00C3309A">
      <w:pPr>
        <w:pStyle w:val="Prrafodelista"/>
        <w:numPr>
          <w:ilvl w:val="0"/>
          <w:numId w:val="45"/>
        </w:numPr>
        <w:tabs>
          <w:tab w:val="left" w:pos="5205"/>
        </w:tabs>
        <w:spacing w:after="240" w:line="360" w:lineRule="auto"/>
        <w:contextualSpacing w:val="0"/>
        <w:jc w:val="both"/>
        <w:rPr>
          <w:color w:val="000000"/>
          <w:sz w:val="22"/>
        </w:rPr>
      </w:pPr>
      <w:r w:rsidRPr="00CC67C2">
        <w:rPr>
          <w:color w:val="000000"/>
          <w:sz w:val="22"/>
        </w:rPr>
        <w:t xml:space="preserve">De los datos recabados, el Sr. Guillermo Lasso Mendoza, es accionista mayoritario del Grupo Económico Banco de Guayaquil - Corporación MULTIBG S.A., por tanto, todas las decisiones que ha tomado el grupo en materia de inversiones nacionales, internacionales, creación de off shore en paraísos fiscales, creación de fideicomisos en off shore, y régimen de tributación, necesariamente deben contar con el aval, consentimiento y aprobación del Sr. Guillermo Lasso Mendoza, para ser legales y vinculantes; </w:t>
      </w:r>
    </w:p>
    <w:p w:rsidR="006A4D59" w:rsidRPr="00CC67C2" w:rsidRDefault="00921711" w:rsidP="00C3309A">
      <w:pPr>
        <w:pStyle w:val="Prrafodelista"/>
        <w:numPr>
          <w:ilvl w:val="0"/>
          <w:numId w:val="45"/>
        </w:numPr>
        <w:tabs>
          <w:tab w:val="left" w:pos="5205"/>
        </w:tabs>
        <w:spacing w:after="240" w:line="360" w:lineRule="auto"/>
        <w:contextualSpacing w:val="0"/>
        <w:jc w:val="both"/>
        <w:rPr>
          <w:color w:val="000000"/>
          <w:sz w:val="22"/>
        </w:rPr>
      </w:pPr>
      <w:r w:rsidRPr="00CC67C2">
        <w:rPr>
          <w:color w:val="000000"/>
          <w:sz w:val="22"/>
        </w:rPr>
        <w:t xml:space="preserve">El grupo Banco de Guayaquil - MULTIBG S.A., con datos del SRI al año 2019, posee 62 empresas en el país y 2 se encuentran registradas con domicilio en Panamá. Pero, según datos internos del Grupo y la filtración Pandora Papers, también estaría relacionado con las siguientes off shore en paraísos fiscales: </w:t>
      </w:r>
    </w:p>
    <w:p w:rsidR="006A4D59" w:rsidRPr="0067008A" w:rsidRDefault="00921711" w:rsidP="00677E33">
      <w:pPr>
        <w:pStyle w:val="Prrafodelista"/>
        <w:numPr>
          <w:ilvl w:val="0"/>
          <w:numId w:val="3"/>
        </w:numPr>
        <w:spacing w:after="240" w:line="360" w:lineRule="auto"/>
        <w:contextualSpacing w:val="0"/>
        <w:jc w:val="both"/>
        <w:rPr>
          <w:sz w:val="22"/>
        </w:rPr>
      </w:pPr>
      <w:r w:rsidRPr="0067008A">
        <w:rPr>
          <w:sz w:val="22"/>
        </w:rPr>
        <w:t>CAMBRIDGE TRADE LLC</w:t>
      </w:r>
      <w:r w:rsidR="00677E33" w:rsidRPr="0067008A">
        <w:rPr>
          <w:sz w:val="22"/>
        </w:rPr>
        <w:t xml:space="preserve"> </w:t>
      </w:r>
      <w:r w:rsidRPr="0067008A">
        <w:rPr>
          <w:sz w:val="22"/>
        </w:rPr>
        <w:t xml:space="preserve">(USA) </w:t>
      </w:r>
    </w:p>
    <w:p w:rsidR="006A4D59" w:rsidRPr="0067008A" w:rsidRDefault="00921711" w:rsidP="00677E33">
      <w:pPr>
        <w:pStyle w:val="Prrafodelista"/>
        <w:numPr>
          <w:ilvl w:val="0"/>
          <w:numId w:val="3"/>
        </w:numPr>
        <w:spacing w:after="240" w:line="360" w:lineRule="auto"/>
        <w:contextualSpacing w:val="0"/>
        <w:jc w:val="both"/>
        <w:rPr>
          <w:sz w:val="22"/>
        </w:rPr>
      </w:pPr>
      <w:r w:rsidRPr="0067008A">
        <w:rPr>
          <w:sz w:val="22"/>
        </w:rPr>
        <w:t>GRANADA INTERNACIONAL LLC (USA)</w:t>
      </w:r>
    </w:p>
    <w:p w:rsidR="006A4D59" w:rsidRPr="0067008A" w:rsidRDefault="00921711" w:rsidP="00677E33">
      <w:pPr>
        <w:pStyle w:val="Prrafodelista"/>
        <w:numPr>
          <w:ilvl w:val="0"/>
          <w:numId w:val="3"/>
        </w:numPr>
        <w:tabs>
          <w:tab w:val="left" w:pos="5205"/>
        </w:tabs>
        <w:spacing w:after="240" w:line="360" w:lineRule="auto"/>
        <w:contextualSpacing w:val="0"/>
        <w:jc w:val="both"/>
        <w:rPr>
          <w:sz w:val="22"/>
        </w:rPr>
      </w:pPr>
      <w:r w:rsidRPr="0067008A">
        <w:rPr>
          <w:sz w:val="22"/>
        </w:rPr>
        <w:t>MONTPELLIER LLC (USA)</w:t>
      </w:r>
    </w:p>
    <w:p w:rsidR="006A4D59" w:rsidRPr="0067008A" w:rsidRDefault="00921711" w:rsidP="00677E33">
      <w:pPr>
        <w:pStyle w:val="Prrafodelista"/>
        <w:numPr>
          <w:ilvl w:val="0"/>
          <w:numId w:val="3"/>
        </w:numPr>
        <w:tabs>
          <w:tab w:val="left" w:pos="5205"/>
        </w:tabs>
        <w:spacing w:after="240" w:line="360" w:lineRule="auto"/>
        <w:contextualSpacing w:val="0"/>
        <w:jc w:val="both"/>
        <w:rPr>
          <w:sz w:val="22"/>
        </w:rPr>
      </w:pPr>
      <w:r w:rsidRPr="0067008A">
        <w:rPr>
          <w:sz w:val="22"/>
        </w:rPr>
        <w:t>BERLIN TRADE LLC (USA)</w:t>
      </w:r>
    </w:p>
    <w:p w:rsidR="006A4D59" w:rsidRPr="0067008A" w:rsidRDefault="00921711" w:rsidP="00677E33">
      <w:pPr>
        <w:pStyle w:val="Prrafodelista"/>
        <w:numPr>
          <w:ilvl w:val="0"/>
          <w:numId w:val="3"/>
        </w:numPr>
        <w:tabs>
          <w:tab w:val="left" w:pos="5205"/>
        </w:tabs>
        <w:spacing w:after="240" w:line="360" w:lineRule="auto"/>
        <w:contextualSpacing w:val="0"/>
        <w:jc w:val="both"/>
        <w:rPr>
          <w:sz w:val="22"/>
        </w:rPr>
      </w:pPr>
      <w:r w:rsidRPr="0067008A">
        <w:rPr>
          <w:sz w:val="22"/>
        </w:rPr>
        <w:t>INVERLAT INVERSIONES LATINA (USA)</w:t>
      </w:r>
    </w:p>
    <w:p w:rsidR="006A4D59" w:rsidRPr="0067008A" w:rsidRDefault="00921711" w:rsidP="00677E33">
      <w:pPr>
        <w:pStyle w:val="Prrafodelista"/>
        <w:numPr>
          <w:ilvl w:val="0"/>
          <w:numId w:val="3"/>
        </w:numPr>
        <w:tabs>
          <w:tab w:val="left" w:pos="5205"/>
        </w:tabs>
        <w:spacing w:after="240" w:line="360" w:lineRule="auto"/>
        <w:contextualSpacing w:val="0"/>
        <w:jc w:val="both"/>
        <w:rPr>
          <w:sz w:val="22"/>
        </w:rPr>
      </w:pPr>
      <w:r w:rsidRPr="0067008A">
        <w:rPr>
          <w:sz w:val="22"/>
        </w:rPr>
        <w:t>US STRATEGIC INVESTMENT LLC</w:t>
      </w:r>
    </w:p>
    <w:p w:rsidR="006A4D59" w:rsidRPr="0067008A" w:rsidRDefault="00921711" w:rsidP="00677E33">
      <w:pPr>
        <w:pStyle w:val="Prrafodelista"/>
        <w:numPr>
          <w:ilvl w:val="0"/>
          <w:numId w:val="3"/>
        </w:numPr>
        <w:tabs>
          <w:tab w:val="left" w:pos="5205"/>
        </w:tabs>
        <w:spacing w:after="240" w:line="360" w:lineRule="auto"/>
        <w:contextualSpacing w:val="0"/>
        <w:jc w:val="both"/>
        <w:rPr>
          <w:sz w:val="22"/>
        </w:rPr>
      </w:pPr>
      <w:r w:rsidRPr="0067008A">
        <w:rPr>
          <w:sz w:val="22"/>
        </w:rPr>
        <w:t xml:space="preserve">MORSETT HOLDING S.A., </w:t>
      </w:r>
    </w:p>
    <w:p w:rsidR="006A4D59" w:rsidRPr="0067008A" w:rsidRDefault="00921711" w:rsidP="00677E33">
      <w:pPr>
        <w:pStyle w:val="Prrafodelista"/>
        <w:numPr>
          <w:ilvl w:val="0"/>
          <w:numId w:val="3"/>
        </w:numPr>
        <w:tabs>
          <w:tab w:val="left" w:pos="5205"/>
        </w:tabs>
        <w:spacing w:after="240" w:line="360" w:lineRule="auto"/>
        <w:contextualSpacing w:val="0"/>
        <w:jc w:val="both"/>
        <w:rPr>
          <w:sz w:val="22"/>
        </w:rPr>
      </w:pPr>
      <w:r w:rsidRPr="0067008A">
        <w:rPr>
          <w:sz w:val="22"/>
        </w:rPr>
        <w:t xml:space="preserve">DEBLEN OVERSEAS S.A., </w:t>
      </w:r>
    </w:p>
    <w:p w:rsidR="006A4D59" w:rsidRPr="0067008A" w:rsidRDefault="00921711" w:rsidP="00677E33">
      <w:pPr>
        <w:pStyle w:val="Prrafodelista"/>
        <w:numPr>
          <w:ilvl w:val="0"/>
          <w:numId w:val="3"/>
        </w:numPr>
        <w:tabs>
          <w:tab w:val="left" w:pos="5205"/>
        </w:tabs>
        <w:spacing w:after="240" w:line="360" w:lineRule="auto"/>
        <w:contextualSpacing w:val="0"/>
        <w:jc w:val="both"/>
        <w:rPr>
          <w:sz w:val="22"/>
        </w:rPr>
      </w:pPr>
      <w:r w:rsidRPr="0067008A">
        <w:rPr>
          <w:sz w:val="22"/>
        </w:rPr>
        <w:t xml:space="preserve">REM PANAMA CORP., </w:t>
      </w:r>
    </w:p>
    <w:p w:rsidR="006A4D59" w:rsidRPr="0067008A" w:rsidRDefault="00921711" w:rsidP="00677E33">
      <w:pPr>
        <w:pStyle w:val="Prrafodelista"/>
        <w:numPr>
          <w:ilvl w:val="0"/>
          <w:numId w:val="3"/>
        </w:numPr>
        <w:tabs>
          <w:tab w:val="left" w:pos="5205"/>
        </w:tabs>
        <w:spacing w:after="240" w:line="360" w:lineRule="auto"/>
        <w:contextualSpacing w:val="0"/>
        <w:jc w:val="both"/>
        <w:rPr>
          <w:sz w:val="22"/>
        </w:rPr>
      </w:pPr>
      <w:r w:rsidRPr="0067008A">
        <w:rPr>
          <w:sz w:val="22"/>
        </w:rPr>
        <w:t xml:space="preserve">ALAMO MANAGEMENT COMPANY INC., </w:t>
      </w:r>
    </w:p>
    <w:p w:rsidR="006A4D59" w:rsidRPr="0067008A" w:rsidRDefault="00921711" w:rsidP="00677E33">
      <w:pPr>
        <w:pStyle w:val="Prrafodelista"/>
        <w:numPr>
          <w:ilvl w:val="0"/>
          <w:numId w:val="3"/>
        </w:numPr>
        <w:tabs>
          <w:tab w:val="left" w:pos="5205"/>
        </w:tabs>
        <w:spacing w:after="240" w:line="360" w:lineRule="auto"/>
        <w:contextualSpacing w:val="0"/>
        <w:jc w:val="both"/>
        <w:rPr>
          <w:sz w:val="22"/>
        </w:rPr>
      </w:pPr>
      <w:r w:rsidRPr="0067008A">
        <w:rPr>
          <w:sz w:val="22"/>
        </w:rPr>
        <w:t>BANDERILLA CAPITAL GROUP, S.A.</w:t>
      </w:r>
    </w:p>
    <w:p w:rsidR="006A4D59" w:rsidRPr="0067008A" w:rsidRDefault="00921711" w:rsidP="00677E33">
      <w:pPr>
        <w:pStyle w:val="Prrafodelista"/>
        <w:numPr>
          <w:ilvl w:val="0"/>
          <w:numId w:val="3"/>
        </w:numPr>
        <w:tabs>
          <w:tab w:val="left" w:pos="5205"/>
        </w:tabs>
        <w:spacing w:after="240" w:line="360" w:lineRule="auto"/>
        <w:contextualSpacing w:val="0"/>
        <w:jc w:val="both"/>
        <w:rPr>
          <w:sz w:val="22"/>
        </w:rPr>
      </w:pPr>
      <w:r w:rsidRPr="0067008A">
        <w:rPr>
          <w:sz w:val="22"/>
        </w:rPr>
        <w:t>ANDEAN INVESTMENT LTDA.</w:t>
      </w:r>
    </w:p>
    <w:p w:rsidR="006A4D59" w:rsidRPr="0067008A" w:rsidRDefault="00921711" w:rsidP="00677E33">
      <w:pPr>
        <w:pStyle w:val="Prrafodelista"/>
        <w:numPr>
          <w:ilvl w:val="0"/>
          <w:numId w:val="3"/>
        </w:numPr>
        <w:tabs>
          <w:tab w:val="left" w:pos="5205"/>
        </w:tabs>
        <w:spacing w:after="240" w:line="360" w:lineRule="auto"/>
        <w:contextualSpacing w:val="0"/>
        <w:jc w:val="both"/>
        <w:rPr>
          <w:sz w:val="22"/>
        </w:rPr>
      </w:pPr>
      <w:r w:rsidRPr="0067008A">
        <w:rPr>
          <w:sz w:val="22"/>
        </w:rPr>
        <w:t xml:space="preserve">BRETTEN TRUST </w:t>
      </w:r>
    </w:p>
    <w:p w:rsidR="006A4D59" w:rsidRPr="0067008A" w:rsidRDefault="00921711" w:rsidP="00677E33">
      <w:pPr>
        <w:pStyle w:val="Prrafodelista"/>
        <w:numPr>
          <w:ilvl w:val="0"/>
          <w:numId w:val="3"/>
        </w:numPr>
        <w:tabs>
          <w:tab w:val="left" w:pos="5205"/>
        </w:tabs>
        <w:spacing w:after="240" w:line="360" w:lineRule="auto"/>
        <w:contextualSpacing w:val="0"/>
        <w:jc w:val="both"/>
        <w:rPr>
          <w:sz w:val="22"/>
        </w:rPr>
      </w:pPr>
      <w:r w:rsidRPr="0067008A">
        <w:rPr>
          <w:sz w:val="22"/>
        </w:rPr>
        <w:t>LIBERTY US TRUST</w:t>
      </w:r>
    </w:p>
    <w:p w:rsidR="006A4D59" w:rsidRPr="0067008A" w:rsidRDefault="00921711" w:rsidP="00677E33">
      <w:pPr>
        <w:pStyle w:val="Prrafodelista"/>
        <w:numPr>
          <w:ilvl w:val="0"/>
          <w:numId w:val="3"/>
        </w:numPr>
        <w:tabs>
          <w:tab w:val="left" w:pos="5205"/>
        </w:tabs>
        <w:spacing w:after="240" w:line="360" w:lineRule="auto"/>
        <w:contextualSpacing w:val="0"/>
        <w:jc w:val="both"/>
        <w:rPr>
          <w:sz w:val="22"/>
        </w:rPr>
      </w:pPr>
      <w:r w:rsidRPr="0067008A">
        <w:rPr>
          <w:sz w:val="22"/>
        </w:rPr>
        <w:t xml:space="preserve">BERNINI FOUNDATION, </w:t>
      </w:r>
    </w:p>
    <w:p w:rsidR="006A4D59" w:rsidRPr="0067008A" w:rsidRDefault="00921711" w:rsidP="00677E33">
      <w:pPr>
        <w:pStyle w:val="Prrafodelista"/>
        <w:numPr>
          <w:ilvl w:val="0"/>
          <w:numId w:val="3"/>
        </w:numPr>
        <w:tabs>
          <w:tab w:val="left" w:pos="5205"/>
        </w:tabs>
        <w:spacing w:after="240" w:line="360" w:lineRule="auto"/>
        <w:contextualSpacing w:val="0"/>
        <w:jc w:val="both"/>
        <w:rPr>
          <w:sz w:val="22"/>
        </w:rPr>
      </w:pPr>
      <w:r w:rsidRPr="0067008A">
        <w:rPr>
          <w:sz w:val="22"/>
        </w:rPr>
        <w:t xml:space="preserve">BRETTEN HOLDINGS, </w:t>
      </w:r>
    </w:p>
    <w:p w:rsidR="006A4D59" w:rsidRPr="0067008A" w:rsidRDefault="00921711" w:rsidP="00677E33">
      <w:pPr>
        <w:pStyle w:val="Prrafodelista"/>
        <w:numPr>
          <w:ilvl w:val="0"/>
          <w:numId w:val="3"/>
        </w:numPr>
        <w:tabs>
          <w:tab w:val="left" w:pos="5205"/>
        </w:tabs>
        <w:spacing w:after="240" w:line="360" w:lineRule="auto"/>
        <w:contextualSpacing w:val="0"/>
        <w:jc w:val="both"/>
        <w:rPr>
          <w:sz w:val="22"/>
        </w:rPr>
      </w:pPr>
      <w:r w:rsidRPr="0067008A">
        <w:rPr>
          <w:sz w:val="22"/>
        </w:rPr>
        <w:t xml:space="preserve">DA VINCI FOUNDATION, </w:t>
      </w:r>
    </w:p>
    <w:p w:rsidR="006A4D59" w:rsidRPr="0067008A" w:rsidRDefault="00921711" w:rsidP="00677E33">
      <w:pPr>
        <w:pStyle w:val="Prrafodelista"/>
        <w:numPr>
          <w:ilvl w:val="0"/>
          <w:numId w:val="3"/>
        </w:numPr>
        <w:tabs>
          <w:tab w:val="left" w:pos="5205"/>
        </w:tabs>
        <w:spacing w:after="240" w:line="360" w:lineRule="auto"/>
        <w:contextualSpacing w:val="0"/>
        <w:jc w:val="both"/>
        <w:rPr>
          <w:sz w:val="22"/>
        </w:rPr>
      </w:pPr>
      <w:r w:rsidRPr="0067008A">
        <w:rPr>
          <w:sz w:val="22"/>
        </w:rPr>
        <w:t xml:space="preserve">FUNDACIÓN BIENES RAÍCES, </w:t>
      </w:r>
    </w:p>
    <w:p w:rsidR="006A4D59" w:rsidRPr="0067008A" w:rsidRDefault="00921711" w:rsidP="00677E33">
      <w:pPr>
        <w:pStyle w:val="Prrafodelista"/>
        <w:numPr>
          <w:ilvl w:val="0"/>
          <w:numId w:val="3"/>
        </w:numPr>
        <w:tabs>
          <w:tab w:val="left" w:pos="5205"/>
        </w:tabs>
        <w:spacing w:after="240" w:line="360" w:lineRule="auto"/>
        <w:contextualSpacing w:val="0"/>
        <w:jc w:val="both"/>
        <w:rPr>
          <w:sz w:val="22"/>
        </w:rPr>
      </w:pPr>
      <w:r w:rsidRPr="0067008A">
        <w:rPr>
          <w:sz w:val="22"/>
        </w:rPr>
        <w:t xml:space="preserve">NORA GROUP INVESTMENT CORP., </w:t>
      </w:r>
    </w:p>
    <w:p w:rsidR="006A4D59" w:rsidRPr="0067008A" w:rsidRDefault="00921711" w:rsidP="00677E33">
      <w:pPr>
        <w:pStyle w:val="Prrafodelista"/>
        <w:numPr>
          <w:ilvl w:val="0"/>
          <w:numId w:val="3"/>
        </w:numPr>
        <w:tabs>
          <w:tab w:val="left" w:pos="5205"/>
        </w:tabs>
        <w:spacing w:after="240" w:line="360" w:lineRule="auto"/>
        <w:contextualSpacing w:val="0"/>
        <w:jc w:val="both"/>
        <w:rPr>
          <w:sz w:val="22"/>
        </w:rPr>
      </w:pPr>
      <w:r w:rsidRPr="0067008A">
        <w:rPr>
          <w:sz w:val="22"/>
        </w:rPr>
        <w:t xml:space="preserve">PIETRO OVERSEAS SA, </w:t>
      </w:r>
    </w:p>
    <w:p w:rsidR="006A4D59" w:rsidRPr="0067008A" w:rsidRDefault="00921711" w:rsidP="00677E33">
      <w:pPr>
        <w:pStyle w:val="Prrafodelista"/>
        <w:numPr>
          <w:ilvl w:val="0"/>
          <w:numId w:val="3"/>
        </w:numPr>
        <w:tabs>
          <w:tab w:val="left" w:pos="5205"/>
        </w:tabs>
        <w:spacing w:after="240" w:line="360" w:lineRule="auto"/>
        <w:contextualSpacing w:val="0"/>
        <w:jc w:val="both"/>
        <w:rPr>
          <w:sz w:val="22"/>
        </w:rPr>
      </w:pPr>
      <w:r w:rsidRPr="0067008A">
        <w:rPr>
          <w:sz w:val="22"/>
        </w:rPr>
        <w:t>POSITANO TRADE LLC</w:t>
      </w:r>
      <w:r w:rsidR="00677E33" w:rsidRPr="0067008A">
        <w:rPr>
          <w:sz w:val="22"/>
        </w:rPr>
        <w:t xml:space="preserve"> </w:t>
      </w:r>
    </w:p>
    <w:p w:rsidR="006A4D59" w:rsidRPr="0067008A" w:rsidRDefault="00921711" w:rsidP="00677E33">
      <w:pPr>
        <w:pStyle w:val="Prrafodelista"/>
        <w:numPr>
          <w:ilvl w:val="0"/>
          <w:numId w:val="3"/>
        </w:numPr>
        <w:tabs>
          <w:tab w:val="left" w:pos="5205"/>
        </w:tabs>
        <w:spacing w:after="240" w:line="360" w:lineRule="auto"/>
        <w:contextualSpacing w:val="0"/>
        <w:jc w:val="both"/>
        <w:rPr>
          <w:sz w:val="22"/>
        </w:rPr>
      </w:pPr>
      <w:r w:rsidRPr="0067008A">
        <w:rPr>
          <w:sz w:val="22"/>
        </w:rPr>
        <w:t>TINTORETTO INTERNATIONAL FOUNDATION</w:t>
      </w:r>
    </w:p>
    <w:p w:rsidR="006A4D59" w:rsidRPr="0067008A" w:rsidRDefault="00921711" w:rsidP="00C3309A">
      <w:pPr>
        <w:pStyle w:val="Prrafodelista"/>
        <w:numPr>
          <w:ilvl w:val="0"/>
          <w:numId w:val="45"/>
        </w:numPr>
        <w:tabs>
          <w:tab w:val="left" w:pos="5205"/>
        </w:tabs>
        <w:spacing w:after="240" w:line="360" w:lineRule="auto"/>
        <w:contextualSpacing w:val="0"/>
        <w:jc w:val="both"/>
        <w:rPr>
          <w:sz w:val="22"/>
        </w:rPr>
      </w:pPr>
      <w:r w:rsidRPr="0067008A">
        <w:rPr>
          <w:sz w:val="22"/>
        </w:rPr>
        <w:t xml:space="preserve">El Presidente de la República Guillermo Lasso Mendoza, ha manifestado en varias oportunidades que la mayoría de estas off shore en paraísos fiscales han sido “legalmente disueltas en el pasado”. Además, en la Carta enviada al Presidente de la Comisión, Fernando Cabascango, y anteriormente citada, el Presidente de la República, Sr. Guillermo Lasso, manifiesta lo siguiente: </w:t>
      </w:r>
      <w:r w:rsidRPr="0067008A">
        <w:rPr>
          <w:i/>
          <w:sz w:val="22"/>
        </w:rPr>
        <w:t>“Y respecto de las tres otras entidades mencionadas en la nota periodística, el banco panameño BANISI y los fideicomisos Bretten Trust y Liberty Trust, ratifico que no tengo con ellas ninguna relación de propiedad ni administración</w:t>
      </w:r>
      <w:r w:rsidRPr="0067008A">
        <w:rPr>
          <w:sz w:val="22"/>
        </w:rPr>
        <w:t xml:space="preserve">”. Sin embargo, el grupo económico Banco de Guayaquil, a través de Corporación MULTIBG S.A., constituyó en el año 2007 el Banco de Guayaquil Panamá con el 100% de propiedad de la Corporación MULTIBG S.A. En el año 2011, el grupo económico Banco de Guayaquil decidió cambiar el nombre de Banco de Guayaquil Panamá, por BANISI. En el año 2018, el grupo económico decidió trasladar la propiedad del 50% de las acciones de BANISI, desde BANISI HOLDING S.A. a los siguientes holdings off shore: MORSETT HOLDING S.A., DEBLEN OVERSEAS S.A., REM PANAMA CORP., ALAMO MANAGEMENT COMPANY INC., BANDERILLA CAPITAL GROUP, S.A. En virtud que el Sr. Guillermo Lasso Mendoza, con datos al 18 de febrero de 2021, es dueño del 39,6% de las acciones de la Corporación MULTIBG S.A., tiene relación de propiedad directa con BANISI, y, por lo tanto, con BANISI HOLDING S.A., que es el dueño de las acciones de BANISI y, en consecuencia, con las entidades off shore antes enunciadas. Por consiguiente, estaría demostrado que las aseveraciones del Presidente Guillermo Lasso Mendoza, no se ajustan a la verdad. Para que el Sr. Presidente Guillermo Lasso Mendoza, no tenga relación alguna de propiedad con BANISI y con las entidades off shore adscritas, habría sido necesario que se desprenda de sus acciones del Fideicomiso Mercantil de Administración GLM, no obstante, hasta el momento la información disponible da cuenta que el Sr. Guillermo Lasso Mendoza mantiene su posesión de las acciones del Fideicomiso Mercantil de Administración GLM; </w:t>
      </w:r>
    </w:p>
    <w:p w:rsidR="006A4D59" w:rsidRPr="0067008A" w:rsidRDefault="00921711" w:rsidP="00C3309A">
      <w:pPr>
        <w:pStyle w:val="Prrafodelista"/>
        <w:numPr>
          <w:ilvl w:val="0"/>
          <w:numId w:val="45"/>
        </w:numPr>
        <w:tabs>
          <w:tab w:val="left" w:pos="5205"/>
        </w:tabs>
        <w:spacing w:after="240" w:line="360" w:lineRule="auto"/>
        <w:contextualSpacing w:val="0"/>
        <w:jc w:val="both"/>
        <w:rPr>
          <w:sz w:val="22"/>
        </w:rPr>
      </w:pPr>
      <w:r w:rsidRPr="0067008A">
        <w:rPr>
          <w:sz w:val="22"/>
        </w:rPr>
        <w:t xml:space="preserve">En este contexto el Sr. Presidente Guillermo Lasso Mendoza, estaría incurso en la prohibición establecida en el artículo 4 de la Ley Orgánica para la Aplicación de la Consulta Popular efectuada el 19 de febrero de 2017, así como incurso en la inhabilidad establecida en el artículo 7 de la referida ley, para las elecciones generales del año 2021. </w:t>
      </w:r>
    </w:p>
    <w:p w:rsidR="006A4D59" w:rsidRPr="0067008A" w:rsidRDefault="00921711" w:rsidP="00C3309A">
      <w:pPr>
        <w:pStyle w:val="Prrafodelista"/>
        <w:numPr>
          <w:ilvl w:val="0"/>
          <w:numId w:val="45"/>
        </w:numPr>
        <w:spacing w:after="240" w:line="360" w:lineRule="auto"/>
        <w:contextualSpacing w:val="0"/>
        <w:jc w:val="both"/>
        <w:rPr>
          <w:sz w:val="22"/>
        </w:rPr>
      </w:pPr>
      <w:r w:rsidRPr="0067008A">
        <w:rPr>
          <w:sz w:val="22"/>
        </w:rPr>
        <w:t>La Corporación MULTIBG S.A. mantiene el 80,80% de las acciones del Banco de Guayaquil. Según datos del SRI, para el año 2019 el grupo económico Banco de Guayaquil, controla 62 empresas, entre ellas la más importante de todas, el Banco de Guayaquil y varios fideicomisos, para un total de ingresos de 601.164.310 USD, con activos para el grupo por 5.336.401.081 USD, y un patrimonio neto a 2019, por 794.433.226 USD. En el periodo 2012-2019, el grupo pagó 44,90 millones de USD como pago del impuesto a la salida de divisas, lo que significa que en ese periodo el grupo transfirió al exterior 898.058.800 USD. En el periodo 2008-2019, el grupo económico Banco de Guayaquil tuvo ingresos acumulados por 5.091 millones de dólares, y solamente pagó 170 millones de dólares en impuesto a la renta para el mismo periodo. Su promedio de pago de impuesto a la renta fue del 3,3% de ingresos respectivos para cada año y para todas las actividades económicas de este grupo económico. Sin embargo, la información tributaria registra disparidades en el pago del impuesto a la renta por parte del grupo. De las 62 empresas registradas por el grupo en la base de datos del SRI, solamente diez de ellas han pagado el impuesto a la renta. En el historial de pagos del SRI puede advertirse que la mayoría de fideicomisos y empresas del grupo no han pagado impuestos a la renta;</w:t>
      </w:r>
    </w:p>
    <w:p w:rsidR="006A4D59" w:rsidRPr="0067008A" w:rsidRDefault="00921711" w:rsidP="00C3309A">
      <w:pPr>
        <w:pStyle w:val="Prrafodelista"/>
        <w:numPr>
          <w:ilvl w:val="0"/>
          <w:numId w:val="45"/>
        </w:numPr>
        <w:spacing w:after="240" w:line="360" w:lineRule="auto"/>
        <w:contextualSpacing w:val="0"/>
        <w:jc w:val="both"/>
        <w:rPr>
          <w:sz w:val="22"/>
        </w:rPr>
      </w:pPr>
      <w:r w:rsidRPr="0067008A">
        <w:rPr>
          <w:sz w:val="22"/>
        </w:rPr>
        <w:t>La diferencia entre el impuesto a la renta del Banco de Guayaquil, y el impuesto a la renta de Guillermo Lasso Mendoza, es importante, porque mientras el Banco de Guayaquil paga un promedio del 3,01% de sus ingresos en impuesto a la renta, Guillermo Lasso Mendoza, paga más del 30% en impuesto a la renta. Lo que configura un comportamiento estratégico dentro del grupo, que le permite la evasión y la elusión tributaria;</w:t>
      </w:r>
    </w:p>
    <w:p w:rsidR="006A4D59" w:rsidRPr="0067008A" w:rsidRDefault="00921711" w:rsidP="00C3309A">
      <w:pPr>
        <w:pStyle w:val="Prrafodelista"/>
        <w:numPr>
          <w:ilvl w:val="0"/>
          <w:numId w:val="45"/>
        </w:numPr>
        <w:tabs>
          <w:tab w:val="left" w:pos="5205"/>
        </w:tabs>
        <w:spacing w:after="240" w:line="360" w:lineRule="auto"/>
        <w:contextualSpacing w:val="0"/>
        <w:jc w:val="both"/>
        <w:rPr>
          <w:sz w:val="22"/>
        </w:rPr>
      </w:pPr>
      <w:r w:rsidRPr="0067008A">
        <w:rPr>
          <w:sz w:val="22"/>
        </w:rPr>
        <w:t xml:space="preserve">El comportamiento tributario de los principales responsables del grupo económico Banco de </w:t>
      </w:r>
      <w:r w:rsidR="007E300D" w:rsidRPr="0067008A">
        <w:rPr>
          <w:sz w:val="22"/>
        </w:rPr>
        <w:t>Guayaquil</w:t>
      </w:r>
      <w:r w:rsidRPr="0067008A">
        <w:rPr>
          <w:color w:val="FF0000"/>
          <w:sz w:val="22"/>
        </w:rPr>
        <w:t xml:space="preserve"> </w:t>
      </w:r>
      <w:r w:rsidRPr="0067008A">
        <w:rPr>
          <w:sz w:val="22"/>
        </w:rPr>
        <w:t>y que son dueños de los fideicomisos que mantienen la estructura de propiedad de la Corporación MULTIBG S.A., conforme lo anteriormente descrito, configuraría el delito de defraudación tributaria establecido en el Art. 298 del COIP, según el cual incurren en este delito “la persona que simule, oculte, omita, falsee o engañe a la administración tributaria para dejar de cumplir con sus obligaciones o para dejar de pagar en todo o en parte, los tributos realmente debidos, en provecho propio o de un tercero”;</w:t>
      </w:r>
    </w:p>
    <w:p w:rsidR="006A4D59" w:rsidRPr="0067008A" w:rsidRDefault="00921711" w:rsidP="00C3309A">
      <w:pPr>
        <w:pStyle w:val="Prrafodelista"/>
        <w:numPr>
          <w:ilvl w:val="0"/>
          <w:numId w:val="45"/>
        </w:numPr>
        <w:tabs>
          <w:tab w:val="left" w:pos="5205"/>
        </w:tabs>
        <w:spacing w:after="240" w:line="360" w:lineRule="auto"/>
        <w:contextualSpacing w:val="0"/>
        <w:jc w:val="both"/>
        <w:rPr>
          <w:sz w:val="22"/>
        </w:rPr>
      </w:pPr>
      <w:r w:rsidRPr="0067008A">
        <w:rPr>
          <w:sz w:val="22"/>
        </w:rPr>
        <w:t>La posibilidad que el Presidente Guillermo Lasso Mendoza esté incurso en la prohibición establecida en el artículo 4 de la Ley Orgánica para la Aplicación de la Consulta Popular efectuada el 19 de febrero de 2017, y también incurso en la inhabilidad establecida en el artículo 7 de la referida ley, para las elecciones generales del año 2021, así como la supuesta infracción a lo establecido en el Art. 298 del COIP, determinan un escenario de crisis de gobernabilidad, porque en ese contexto el Presidente de la República no tendría margen de maniobra para llevar adelante el Plan Nacional de Desarrollo, y su credibilidad social se desplomaría, al tiempo que genera en la sociedad un ambiente de frustración, conflicto social, y vergüenza colectiva, lo que generaría un escenario de conmoción social, porque altera de forma radical las coordenadas éticas y deontológicas del sistema político, y posibilita la anomia de las instituciones. En un contexto de esa magnitud, la Asamblea Nacional tiene la obligación de restaurar la paz social y garantizar la continuidad de las instituciones bajo las normas éticas y jurídicas consagradas en la Constitución y la ley, a través de decisiones apegadas al ordenamiento constitucional.</w:t>
      </w:r>
    </w:p>
    <w:p w:rsidR="00187432" w:rsidRDefault="00187432" w:rsidP="00187432">
      <w:pPr>
        <w:tabs>
          <w:tab w:val="left" w:pos="5205"/>
        </w:tabs>
        <w:spacing w:after="240" w:line="360" w:lineRule="auto"/>
        <w:jc w:val="both"/>
      </w:pPr>
    </w:p>
    <w:p w:rsidR="00F45B66" w:rsidRPr="00CC67C2" w:rsidRDefault="00F45B66" w:rsidP="00187432">
      <w:pPr>
        <w:pStyle w:val="Predeterminado"/>
        <w:spacing w:before="0" w:line="560" w:lineRule="atLeast"/>
        <w:jc w:val="both"/>
        <w:rPr>
          <w:rStyle w:val="Ninguno"/>
          <w:rFonts w:ascii="Times New Roman" w:hAnsi="Times New Roman" w:cs="Times New Roman"/>
          <w:b/>
          <w:bCs/>
          <w:sz w:val="22"/>
          <w:szCs w:val="22"/>
          <w:shd w:val="clear" w:color="auto" w:fill="FFFFFF"/>
          <w:lang w:val="es-ES_tradnl"/>
        </w:rPr>
      </w:pPr>
      <w:r w:rsidRPr="00CC67C2">
        <w:rPr>
          <w:rStyle w:val="Ninguno"/>
          <w:rFonts w:ascii="Times New Roman" w:hAnsi="Times New Roman" w:cs="Times New Roman"/>
          <w:b/>
          <w:bCs/>
          <w:sz w:val="22"/>
          <w:szCs w:val="22"/>
          <w:shd w:val="clear" w:color="auto" w:fill="FFFFFF"/>
          <w:lang w:val="es-ES_tradnl"/>
        </w:rPr>
        <w:t xml:space="preserve">RECOMENDACIONES </w:t>
      </w:r>
    </w:p>
    <w:p w:rsidR="00187432" w:rsidRPr="00CC67C2" w:rsidRDefault="00187432" w:rsidP="00187432">
      <w:pPr>
        <w:pStyle w:val="Predeterminado"/>
        <w:spacing w:before="0" w:line="560" w:lineRule="atLeast"/>
        <w:jc w:val="both"/>
        <w:rPr>
          <w:rStyle w:val="Ninguno"/>
          <w:rFonts w:ascii="Times New Roman" w:eastAsia="Times Roman" w:hAnsi="Times New Roman" w:cs="Times New Roman"/>
          <w:b/>
          <w:bCs/>
          <w:sz w:val="22"/>
          <w:szCs w:val="22"/>
          <w:shd w:val="clear" w:color="auto" w:fill="FFFFFF"/>
        </w:rPr>
      </w:pPr>
      <w:r w:rsidRPr="00CC67C2">
        <w:rPr>
          <w:rStyle w:val="Ninguno"/>
          <w:rFonts w:ascii="Times New Roman" w:hAnsi="Times New Roman" w:cs="Times New Roman"/>
          <w:b/>
          <w:bCs/>
          <w:sz w:val="22"/>
          <w:szCs w:val="22"/>
          <w:shd w:val="clear" w:color="auto" w:fill="FFFFFF"/>
          <w:lang w:val="es-ES_tradnl"/>
        </w:rPr>
        <w:t>En ejercicio de su responsabilidad política, la Comisión recomienda al Pleno de la Asamblea Nacional:</w:t>
      </w:r>
    </w:p>
    <w:p w:rsidR="00187432" w:rsidRPr="00CE46F6" w:rsidRDefault="00187432" w:rsidP="00187432">
      <w:pPr>
        <w:pStyle w:val="Predeterminado"/>
        <w:spacing w:before="0" w:line="240" w:lineRule="auto"/>
        <w:rPr>
          <w:rStyle w:val="Ninguno"/>
          <w:rFonts w:ascii="Times New Roman" w:eastAsia="Times Roman" w:hAnsi="Times New Roman" w:cs="Times New Roman"/>
          <w:sz w:val="22"/>
          <w:szCs w:val="22"/>
          <w:shd w:val="clear" w:color="auto" w:fill="FFFFFF"/>
        </w:rPr>
      </w:pPr>
    </w:p>
    <w:p w:rsidR="00187432" w:rsidRPr="00CE46F6" w:rsidRDefault="00187432" w:rsidP="00187432">
      <w:pPr>
        <w:pStyle w:val="Predeterminado"/>
        <w:numPr>
          <w:ilvl w:val="0"/>
          <w:numId w:val="48"/>
        </w:numPr>
        <w:spacing w:before="0" w:line="560" w:lineRule="atLeast"/>
        <w:jc w:val="both"/>
        <w:rPr>
          <w:rFonts w:ascii="Times New Roman" w:hAnsi="Times New Roman" w:cs="Times New Roman"/>
          <w:sz w:val="22"/>
          <w:szCs w:val="22"/>
        </w:rPr>
      </w:pPr>
      <w:r w:rsidRPr="00CE46F6">
        <w:rPr>
          <w:rStyle w:val="Ninguno"/>
          <w:rFonts w:ascii="Times New Roman" w:hAnsi="Times New Roman" w:cs="Times New Roman"/>
          <w:sz w:val="22"/>
          <w:szCs w:val="22"/>
          <w:shd w:val="clear" w:color="auto" w:fill="FFFFFF"/>
          <w:lang w:val="es-ES_tradnl"/>
        </w:rPr>
        <w:t>Que de conformidad con el art</w:t>
      </w:r>
      <w:r w:rsidRPr="00CE46F6">
        <w:rPr>
          <w:rStyle w:val="Ninguno"/>
          <w:rFonts w:ascii="Times New Roman" w:hAnsi="Times New Roman" w:cs="Times New Roman"/>
          <w:sz w:val="22"/>
          <w:szCs w:val="22"/>
          <w:shd w:val="clear" w:color="auto" w:fill="FFFFFF"/>
        </w:rPr>
        <w:t>í</w:t>
      </w:r>
      <w:r w:rsidRPr="00CE46F6">
        <w:rPr>
          <w:rStyle w:val="Ninguno"/>
          <w:rFonts w:ascii="Times New Roman" w:hAnsi="Times New Roman" w:cs="Times New Roman"/>
          <w:sz w:val="22"/>
          <w:szCs w:val="22"/>
          <w:shd w:val="clear" w:color="auto" w:fill="FFFFFF"/>
          <w:lang w:val="es-ES_tradnl"/>
        </w:rPr>
        <w:t>culo 130 numeral 2 de la Constitución, y ante las graves violaciones al Código de la Democracia en lo relativo al financiamiento de campaña y a la continuada violación del art</w:t>
      </w:r>
      <w:r w:rsidRPr="00CE46F6">
        <w:rPr>
          <w:rStyle w:val="Ninguno"/>
          <w:rFonts w:ascii="Times New Roman" w:hAnsi="Times New Roman" w:cs="Times New Roman"/>
          <w:sz w:val="22"/>
          <w:szCs w:val="22"/>
          <w:shd w:val="clear" w:color="auto" w:fill="FFFFFF"/>
        </w:rPr>
        <w:t>í</w:t>
      </w:r>
      <w:r w:rsidRPr="00CE46F6">
        <w:rPr>
          <w:rStyle w:val="Ninguno"/>
          <w:rFonts w:ascii="Times New Roman" w:hAnsi="Times New Roman" w:cs="Times New Roman"/>
          <w:sz w:val="22"/>
          <w:szCs w:val="22"/>
          <w:shd w:val="clear" w:color="auto" w:fill="FFFFFF"/>
          <w:lang w:val="es-ES_tradnl"/>
        </w:rPr>
        <w:t xml:space="preserve">culo 4 de la Ley del Pacto </w:t>
      </w:r>
      <w:r w:rsidRPr="00CE46F6">
        <w:rPr>
          <w:rStyle w:val="Ninguno"/>
          <w:rFonts w:ascii="Times New Roman" w:hAnsi="Times New Roman" w:cs="Times New Roman"/>
          <w:sz w:val="22"/>
          <w:szCs w:val="22"/>
          <w:shd w:val="clear" w:color="auto" w:fill="FFFFFF"/>
          <w:lang w:val="fr-FR"/>
        </w:rPr>
        <w:t>É</w:t>
      </w:r>
      <w:r w:rsidRPr="00CE46F6">
        <w:rPr>
          <w:rStyle w:val="Ninguno"/>
          <w:rFonts w:ascii="Times New Roman" w:hAnsi="Times New Roman" w:cs="Times New Roman"/>
          <w:sz w:val="22"/>
          <w:szCs w:val="22"/>
          <w:shd w:val="clear" w:color="auto" w:fill="FFFFFF"/>
          <w:lang w:val="it-IT"/>
        </w:rPr>
        <w:t>tico se determina el incumplimiento constitucional del Presidente de la República por grave crisis política, conmosión e inobservancia interna del mandado popular sobre paraísos fiscales.</w:t>
      </w:r>
      <w:r w:rsidRPr="00CE46F6">
        <w:rPr>
          <w:rStyle w:val="Ninguno"/>
          <w:rFonts w:ascii="Times New Roman" w:eastAsia="Arial" w:hAnsi="Times New Roman" w:cs="Times New Roman"/>
          <w:sz w:val="22"/>
          <w:szCs w:val="22"/>
          <w:shd w:val="clear" w:color="auto" w:fill="FFFFFF"/>
        </w:rPr>
        <w:t xml:space="preserve"> </w:t>
      </w:r>
    </w:p>
    <w:p w:rsidR="00187432" w:rsidRDefault="00187432" w:rsidP="00187432">
      <w:pPr>
        <w:pStyle w:val="Predeterminado"/>
        <w:numPr>
          <w:ilvl w:val="0"/>
          <w:numId w:val="48"/>
        </w:numPr>
        <w:spacing w:before="0" w:line="560" w:lineRule="atLeast"/>
        <w:jc w:val="both"/>
        <w:rPr>
          <w:rStyle w:val="Ninguno"/>
          <w:sz w:val="22"/>
          <w:szCs w:val="22"/>
        </w:rPr>
      </w:pPr>
      <w:r w:rsidRPr="00CE46F6">
        <w:rPr>
          <w:rStyle w:val="Ninguno"/>
          <w:rFonts w:ascii="Times New Roman" w:hAnsi="Times New Roman" w:cs="Times New Roman"/>
          <w:sz w:val="22"/>
          <w:szCs w:val="22"/>
          <w:shd w:val="clear" w:color="auto" w:fill="FFFFFF"/>
          <w:lang w:val="es-ES_tradnl"/>
        </w:rPr>
        <w:t>Que de conformidad con las facultades constitucionales de</w:t>
      </w:r>
      <w:r w:rsidRPr="00CE46F6">
        <w:rPr>
          <w:rStyle w:val="Ninguno"/>
          <w:rFonts w:ascii="Times New Roman" w:hAnsi="Times New Roman" w:cs="Times New Roman"/>
          <w:sz w:val="22"/>
          <w:szCs w:val="22"/>
          <w:shd w:val="clear" w:color="auto" w:fill="FFFFFF"/>
        </w:rPr>
        <w:t xml:space="preserve"> control político,</w:t>
      </w:r>
      <w:r w:rsidRPr="00CE46F6">
        <w:rPr>
          <w:rStyle w:val="Ninguno"/>
          <w:rFonts w:ascii="Times New Roman" w:hAnsi="Times New Roman" w:cs="Times New Roman"/>
          <w:sz w:val="22"/>
          <w:szCs w:val="22"/>
          <w:shd w:val="clear" w:color="auto" w:fill="FFFFFF"/>
          <w:lang w:val="es-ES_tradnl"/>
        </w:rPr>
        <w:t xml:space="preserve"> se apruebe una Resolución del Pleno de la Asamblea que disponga que en el plazo de 48 horas, el Presidente de la </w:t>
      </w:r>
      <w:r w:rsidR="00F45B66">
        <w:rPr>
          <w:rStyle w:val="Ninguno"/>
          <w:rFonts w:ascii="Times New Roman" w:hAnsi="Times New Roman" w:cs="Times New Roman"/>
          <w:sz w:val="22"/>
          <w:szCs w:val="22"/>
          <w:shd w:val="clear" w:color="auto" w:fill="FFFFFF"/>
          <w:lang w:val="es-ES_tradnl"/>
        </w:rPr>
        <w:t xml:space="preserve">República </w:t>
      </w:r>
      <w:r w:rsidRPr="00CE46F6">
        <w:rPr>
          <w:rStyle w:val="Ninguno"/>
          <w:rFonts w:ascii="Times New Roman" w:hAnsi="Times New Roman" w:cs="Times New Roman"/>
          <w:sz w:val="22"/>
          <w:szCs w:val="22"/>
          <w:shd w:val="clear" w:color="auto" w:fill="FFFFFF"/>
          <w:lang w:val="es-ES_tradnl"/>
        </w:rPr>
        <w:t>comparezca al Pleno de la Asamblea para que cumpla con la entrega de la información solicitada y responda a las preguntas de todos los legisladores.</w:t>
      </w:r>
    </w:p>
    <w:p w:rsidR="00187432" w:rsidRPr="00CE46F6" w:rsidRDefault="00187432" w:rsidP="00187432">
      <w:pPr>
        <w:pStyle w:val="Predeterminado"/>
        <w:numPr>
          <w:ilvl w:val="0"/>
          <w:numId w:val="48"/>
        </w:numPr>
        <w:spacing w:before="0" w:line="560" w:lineRule="atLeast"/>
        <w:jc w:val="both"/>
        <w:rPr>
          <w:rStyle w:val="Ninguno"/>
          <w:sz w:val="22"/>
          <w:szCs w:val="22"/>
        </w:rPr>
      </w:pPr>
      <w:r w:rsidRPr="00CE46F6">
        <w:rPr>
          <w:rStyle w:val="Ninguno"/>
          <w:rFonts w:ascii="Times New Roman" w:hAnsi="Times New Roman" w:cs="Times New Roman"/>
          <w:sz w:val="22"/>
          <w:szCs w:val="22"/>
          <w:shd w:val="clear" w:color="auto" w:fill="FFFFFF"/>
          <w:lang w:val="es-ES_tradnl"/>
        </w:rPr>
        <w:t>Que de conformidad con los art</w:t>
      </w:r>
      <w:r w:rsidRPr="00CE46F6">
        <w:rPr>
          <w:rStyle w:val="Ninguno"/>
          <w:rFonts w:ascii="Times New Roman" w:hAnsi="Times New Roman" w:cs="Times New Roman"/>
          <w:sz w:val="22"/>
          <w:szCs w:val="22"/>
          <w:shd w:val="clear" w:color="auto" w:fill="FFFFFF"/>
        </w:rPr>
        <w:t>í</w:t>
      </w:r>
      <w:r w:rsidRPr="00CE46F6">
        <w:rPr>
          <w:rStyle w:val="Ninguno"/>
          <w:rFonts w:ascii="Times New Roman" w:hAnsi="Times New Roman" w:cs="Times New Roman"/>
          <w:sz w:val="22"/>
          <w:szCs w:val="22"/>
          <w:shd w:val="clear" w:color="auto" w:fill="FFFFFF"/>
          <w:lang w:val="es-ES_tradnl"/>
        </w:rPr>
        <w:t xml:space="preserve">culos de la Ley </w:t>
      </w:r>
      <w:r w:rsidR="00F45B66">
        <w:rPr>
          <w:rStyle w:val="Ninguno"/>
          <w:rFonts w:ascii="Times New Roman" w:hAnsi="Times New Roman" w:cs="Times New Roman"/>
          <w:sz w:val="22"/>
          <w:szCs w:val="22"/>
          <w:shd w:val="clear" w:color="auto" w:fill="FFFFFF"/>
          <w:lang w:val="es-ES_tradnl"/>
        </w:rPr>
        <w:t xml:space="preserve">Orgánica </w:t>
      </w:r>
      <w:r w:rsidRPr="00CE46F6">
        <w:rPr>
          <w:rStyle w:val="Ninguno"/>
          <w:rFonts w:ascii="Times New Roman" w:hAnsi="Times New Roman" w:cs="Times New Roman"/>
          <w:sz w:val="22"/>
          <w:szCs w:val="22"/>
          <w:shd w:val="clear" w:color="auto" w:fill="FFFFFF"/>
          <w:lang w:val="es-ES_tradnl"/>
        </w:rPr>
        <w:t xml:space="preserve">de la Función Legislativa, el Pleno de la Asamblea apruebe una Resolución mediante la cual se levante la reserva de toda la información que ha sido catalogada como reservada por las instituciones del Estado relacionadas a las transacciones, patrimonio e investigaciones en curso vinculadas a Guillermo Lasso Mendoza y vinculados. Asimismo, que el Pleno de la Asamblea comunique a todas las instituciones del Estado que el Presidente de la </w:t>
      </w:r>
      <w:r>
        <w:rPr>
          <w:rStyle w:val="Ninguno"/>
          <w:rFonts w:ascii="Times New Roman" w:hAnsi="Times New Roman" w:cs="Times New Roman"/>
          <w:sz w:val="22"/>
          <w:szCs w:val="22"/>
          <w:shd w:val="clear" w:color="auto" w:fill="FFFFFF"/>
          <w:lang w:val="es-ES_tradnl"/>
        </w:rPr>
        <w:t>Re</w:t>
      </w:r>
      <w:r w:rsidR="00F45B66">
        <w:rPr>
          <w:rStyle w:val="Ninguno"/>
          <w:rFonts w:ascii="Times New Roman" w:hAnsi="Times New Roman" w:cs="Times New Roman"/>
          <w:sz w:val="22"/>
          <w:szCs w:val="22"/>
          <w:shd w:val="clear" w:color="auto" w:fill="FFFFFF"/>
          <w:lang w:val="es-ES_tradnl"/>
        </w:rPr>
        <w:t>pública</w:t>
      </w:r>
      <w:r w:rsidRPr="00CE46F6">
        <w:rPr>
          <w:rStyle w:val="Ninguno"/>
          <w:rFonts w:ascii="Times New Roman" w:hAnsi="Times New Roman" w:cs="Times New Roman"/>
          <w:sz w:val="22"/>
          <w:szCs w:val="22"/>
          <w:shd w:val="clear" w:color="auto" w:fill="FFFFFF"/>
          <w:lang w:val="es-ES_tradnl"/>
        </w:rPr>
        <w:t xml:space="preserve"> ha renunciado p</w:t>
      </w:r>
      <w:r w:rsidRPr="00CE46F6">
        <w:rPr>
          <w:rStyle w:val="Ninguno"/>
          <w:rFonts w:ascii="Times New Roman" w:hAnsi="Times New Roman" w:cs="Times New Roman"/>
          <w:sz w:val="22"/>
          <w:szCs w:val="22"/>
          <w:shd w:val="clear" w:color="auto" w:fill="FFFFFF"/>
        </w:rPr>
        <w:t>ú</w:t>
      </w:r>
      <w:r w:rsidR="00F45B66">
        <w:rPr>
          <w:rStyle w:val="Ninguno"/>
          <w:rFonts w:ascii="Times New Roman" w:hAnsi="Times New Roman" w:cs="Times New Roman"/>
          <w:sz w:val="22"/>
          <w:szCs w:val="22"/>
          <w:shd w:val="clear" w:color="auto" w:fill="FFFFFF"/>
        </w:rPr>
        <w:t>blicamente</w:t>
      </w:r>
      <w:r w:rsidRPr="00CE46F6">
        <w:rPr>
          <w:rStyle w:val="Ninguno"/>
          <w:rFonts w:ascii="Times New Roman" w:hAnsi="Times New Roman" w:cs="Times New Roman"/>
          <w:sz w:val="22"/>
          <w:szCs w:val="22"/>
          <w:shd w:val="clear" w:color="auto" w:fill="FFFFFF"/>
          <w:lang w:val="es-ES_tradnl"/>
        </w:rPr>
        <w:t xml:space="preserve"> y por escrito al sigilo de sus cuentas. En ese sentido, otorga el plazo de 48 horas a todas las instituciones del Estado para que entreguen la información a la Asamblea Nacional.</w:t>
      </w:r>
    </w:p>
    <w:p w:rsidR="00187432" w:rsidRPr="00CE46F6" w:rsidRDefault="00187432" w:rsidP="00187432">
      <w:pPr>
        <w:pStyle w:val="Predeterminado"/>
        <w:numPr>
          <w:ilvl w:val="0"/>
          <w:numId w:val="48"/>
        </w:numPr>
        <w:spacing w:before="0" w:line="560" w:lineRule="atLeast"/>
        <w:jc w:val="both"/>
        <w:rPr>
          <w:rStyle w:val="Ninguno"/>
          <w:rFonts w:ascii="Times New Roman" w:hAnsi="Times New Roman" w:cs="Times New Roman"/>
          <w:sz w:val="22"/>
          <w:szCs w:val="22"/>
          <w:lang w:val="es-ES_tradnl"/>
        </w:rPr>
      </w:pPr>
      <w:r w:rsidRPr="00CE46F6">
        <w:rPr>
          <w:rStyle w:val="Ninguno"/>
          <w:rFonts w:ascii="Times New Roman" w:hAnsi="Times New Roman" w:cs="Times New Roman"/>
          <w:sz w:val="22"/>
          <w:szCs w:val="22"/>
          <w:shd w:val="clear" w:color="auto" w:fill="FFFFFF"/>
          <w:lang w:val="es-ES_tradnl"/>
        </w:rPr>
        <w:t>Que se exhorte al Ejecutivo y a la Corte Constitucional para acelerar el proceso de ratificación del Acuerdo de Intercambio de</w:t>
      </w:r>
      <w:r>
        <w:rPr>
          <w:rStyle w:val="Ninguno"/>
          <w:sz w:val="22"/>
          <w:szCs w:val="22"/>
          <w:shd w:val="clear" w:color="auto" w:fill="FFFFFF"/>
        </w:rPr>
        <w:t xml:space="preserve"> Información </w:t>
      </w:r>
      <w:r w:rsidRPr="00CE46F6">
        <w:rPr>
          <w:rStyle w:val="Ninguno"/>
          <w:rFonts w:ascii="Times New Roman" w:hAnsi="Times New Roman" w:cs="Times New Roman"/>
          <w:sz w:val="22"/>
          <w:szCs w:val="22"/>
          <w:shd w:val="clear" w:color="auto" w:fill="FFFFFF"/>
          <w:lang w:val="pt-PT"/>
        </w:rPr>
        <w:t>Tributaria con Estados Unidos.</w:t>
      </w:r>
    </w:p>
    <w:p w:rsidR="00187432" w:rsidRPr="00CE46F6" w:rsidRDefault="00187432" w:rsidP="00187432">
      <w:pPr>
        <w:pStyle w:val="Predeterminado"/>
        <w:numPr>
          <w:ilvl w:val="0"/>
          <w:numId w:val="48"/>
        </w:numPr>
        <w:spacing w:before="0" w:line="560" w:lineRule="atLeast"/>
        <w:jc w:val="both"/>
        <w:rPr>
          <w:rStyle w:val="Ninguno"/>
          <w:sz w:val="22"/>
          <w:szCs w:val="22"/>
        </w:rPr>
      </w:pPr>
      <w:r w:rsidRPr="00CE46F6">
        <w:rPr>
          <w:rStyle w:val="Ninguno"/>
          <w:rFonts w:ascii="Times New Roman" w:hAnsi="Times New Roman" w:cs="Times New Roman"/>
          <w:sz w:val="22"/>
          <w:szCs w:val="22"/>
          <w:shd w:val="clear" w:color="auto" w:fill="FFFFFF"/>
          <w:lang w:val="es-ES_tradnl"/>
        </w:rPr>
        <w:t xml:space="preserve">Que se gestionen las relaciones interparlamentarias con el Congreso de EEUU para que aceleren el proceso de ratificación del Acuerdo de Intercambio de Información Tributaria y que inicien una investigación exhaustiva sobre los activos de autoridades ecuatorianas, incluyendo al Presidente de la </w:t>
      </w:r>
      <w:r>
        <w:rPr>
          <w:rStyle w:val="Ninguno"/>
          <w:rFonts w:ascii="Times New Roman" w:hAnsi="Times New Roman" w:cs="Times New Roman"/>
          <w:sz w:val="22"/>
          <w:szCs w:val="22"/>
          <w:shd w:val="clear" w:color="auto" w:fill="FFFFFF"/>
          <w:lang w:val="es-ES_tradnl"/>
        </w:rPr>
        <w:t>República</w:t>
      </w:r>
      <w:r w:rsidRPr="00CE46F6">
        <w:rPr>
          <w:rStyle w:val="Ninguno"/>
          <w:rFonts w:ascii="Times New Roman" w:hAnsi="Times New Roman" w:cs="Times New Roman"/>
          <w:sz w:val="22"/>
          <w:szCs w:val="22"/>
          <w:shd w:val="clear" w:color="auto" w:fill="FFFFFF"/>
          <w:lang w:val="es-ES_tradnl"/>
        </w:rPr>
        <w:t>, como las lideradas en el pasado por el Senador Carl Levin.</w:t>
      </w:r>
    </w:p>
    <w:p w:rsidR="00187432" w:rsidRPr="00CE46F6" w:rsidRDefault="00187432" w:rsidP="00187432">
      <w:pPr>
        <w:pStyle w:val="Predeterminado"/>
        <w:numPr>
          <w:ilvl w:val="0"/>
          <w:numId w:val="48"/>
        </w:numPr>
        <w:spacing w:before="0" w:line="560" w:lineRule="atLeast"/>
        <w:jc w:val="both"/>
        <w:rPr>
          <w:rStyle w:val="Ninguno"/>
          <w:rFonts w:ascii="Times New Roman" w:hAnsi="Times New Roman" w:cs="Times New Roman"/>
          <w:sz w:val="22"/>
          <w:szCs w:val="22"/>
        </w:rPr>
      </w:pPr>
      <w:r w:rsidRPr="00CE46F6">
        <w:rPr>
          <w:rStyle w:val="Ninguno"/>
          <w:rFonts w:ascii="Times New Roman" w:hAnsi="Times New Roman" w:cs="Times New Roman"/>
          <w:sz w:val="22"/>
          <w:szCs w:val="22"/>
          <w:shd w:val="clear" w:color="auto" w:fill="FFFFFF"/>
          <w:lang w:val="es-ES_tradnl"/>
        </w:rPr>
        <w:t>Que en el plazo de 72 horas, posteriores al vencimiento del plazo de comparecencia del Presidente de la</w:t>
      </w:r>
      <w:r>
        <w:rPr>
          <w:rStyle w:val="Ninguno"/>
          <w:rFonts w:ascii="Times New Roman" w:hAnsi="Times New Roman" w:cs="Times New Roman"/>
          <w:sz w:val="22"/>
          <w:szCs w:val="22"/>
          <w:shd w:val="clear" w:color="auto" w:fill="FFFFFF"/>
          <w:lang w:val="es-ES_tradnl"/>
        </w:rPr>
        <w:t xml:space="preserve"> República</w:t>
      </w:r>
      <w:r w:rsidRPr="00CE46F6">
        <w:rPr>
          <w:rStyle w:val="Ninguno"/>
          <w:rFonts w:ascii="Times New Roman" w:hAnsi="Times New Roman" w:cs="Times New Roman"/>
          <w:sz w:val="22"/>
          <w:szCs w:val="22"/>
          <w:shd w:val="clear" w:color="auto" w:fill="FFFFFF"/>
          <w:lang w:val="es-ES_tradnl"/>
        </w:rPr>
        <w:t>, el Pleno de la Asamblea resuelva en m</w:t>
      </w:r>
      <w:r w:rsidRPr="00CE46F6">
        <w:rPr>
          <w:rStyle w:val="Ninguno"/>
          <w:rFonts w:ascii="Times New Roman" w:hAnsi="Times New Roman" w:cs="Times New Roman"/>
          <w:sz w:val="22"/>
          <w:szCs w:val="22"/>
          <w:shd w:val="clear" w:color="auto" w:fill="FFFFFF"/>
          <w:lang w:val="fr-FR"/>
        </w:rPr>
        <w:t>é</w:t>
      </w:r>
      <w:r w:rsidRPr="00CE46F6">
        <w:rPr>
          <w:rStyle w:val="Ninguno"/>
          <w:rFonts w:ascii="Times New Roman" w:hAnsi="Times New Roman" w:cs="Times New Roman"/>
          <w:sz w:val="22"/>
          <w:szCs w:val="22"/>
          <w:shd w:val="clear" w:color="auto" w:fill="FFFFFF"/>
          <w:lang w:val="es-ES_tradnl"/>
        </w:rPr>
        <w:t>rito de este informe y expediente.</w:t>
      </w:r>
    </w:p>
    <w:p w:rsidR="00187432" w:rsidRPr="00CE46F6" w:rsidRDefault="00187432" w:rsidP="00187432">
      <w:pPr>
        <w:pStyle w:val="Predeterminado"/>
        <w:spacing w:before="0" w:line="560" w:lineRule="atLeast"/>
        <w:ind w:left="220"/>
        <w:jc w:val="both"/>
        <w:rPr>
          <w:rStyle w:val="Ninguno"/>
          <w:rFonts w:ascii="Times New Roman" w:hAnsi="Times New Roman" w:cs="Times New Roman"/>
          <w:sz w:val="22"/>
          <w:szCs w:val="22"/>
        </w:rPr>
      </w:pPr>
    </w:p>
    <w:p w:rsidR="00187432" w:rsidRPr="00CE46F6" w:rsidRDefault="00187432" w:rsidP="00187432">
      <w:pPr>
        <w:pStyle w:val="Predeterminado"/>
        <w:spacing w:before="0" w:line="560" w:lineRule="atLeast"/>
        <w:ind w:left="220"/>
        <w:jc w:val="both"/>
        <w:rPr>
          <w:rStyle w:val="Ninguno"/>
          <w:rFonts w:ascii="Times New Roman" w:hAnsi="Times New Roman" w:cs="Times New Roman"/>
          <w:sz w:val="22"/>
          <w:szCs w:val="22"/>
        </w:rPr>
      </w:pPr>
      <w:r w:rsidRPr="00CE46F6">
        <w:rPr>
          <w:rStyle w:val="Ninguno"/>
          <w:rFonts w:ascii="Times New Roman" w:hAnsi="Times New Roman" w:cs="Times New Roman"/>
          <w:sz w:val="22"/>
          <w:szCs w:val="22"/>
          <w:shd w:val="clear" w:color="auto" w:fill="FFFFFF"/>
          <w:lang w:val="es-ES_tradnl"/>
        </w:rPr>
        <w:t>Adicionalmente, esta Comisión resuelve enviar este informe a las siguientes instituciones, para que, independientemente de los elementos de responsabilidad pol</w:t>
      </w:r>
      <w:r w:rsidRPr="00CE46F6">
        <w:rPr>
          <w:rStyle w:val="Ninguno"/>
          <w:rFonts w:ascii="Times New Roman" w:hAnsi="Times New Roman" w:cs="Times New Roman"/>
          <w:sz w:val="22"/>
          <w:szCs w:val="22"/>
          <w:shd w:val="clear" w:color="auto" w:fill="FFFFFF"/>
        </w:rPr>
        <w:t>í</w:t>
      </w:r>
      <w:r w:rsidRPr="00CE46F6">
        <w:rPr>
          <w:rStyle w:val="Ninguno"/>
          <w:rFonts w:ascii="Times New Roman" w:hAnsi="Times New Roman" w:cs="Times New Roman"/>
          <w:sz w:val="22"/>
          <w:szCs w:val="22"/>
          <w:shd w:val="clear" w:color="auto" w:fill="FFFFFF"/>
          <w:lang w:val="es-ES_tradnl"/>
        </w:rPr>
        <w:t>tica correspondientes al Pleno de la Asamblea Nacional, procedan acorde con sus competencias constitucionales y legales:</w:t>
      </w:r>
    </w:p>
    <w:p w:rsidR="00187432" w:rsidRPr="00CE46F6" w:rsidRDefault="00187432" w:rsidP="00187432">
      <w:pPr>
        <w:pStyle w:val="Predeterminado"/>
        <w:numPr>
          <w:ilvl w:val="0"/>
          <w:numId w:val="49"/>
        </w:numPr>
        <w:spacing w:before="0" w:line="560" w:lineRule="atLeast"/>
        <w:jc w:val="both"/>
        <w:rPr>
          <w:rStyle w:val="Ninguno"/>
          <w:rFonts w:ascii="Times New Roman" w:hAnsi="Times New Roman" w:cs="Times New Roman"/>
          <w:sz w:val="22"/>
          <w:szCs w:val="22"/>
        </w:rPr>
      </w:pPr>
      <w:r w:rsidRPr="00CE46F6">
        <w:rPr>
          <w:rStyle w:val="Ninguno"/>
          <w:rFonts w:ascii="Times New Roman" w:hAnsi="Times New Roman" w:cs="Times New Roman"/>
          <w:sz w:val="22"/>
          <w:szCs w:val="22"/>
          <w:shd w:val="clear" w:color="auto" w:fill="FFFFFF"/>
          <w:lang w:val="es-ES_tradnl"/>
        </w:rPr>
        <w:t>Fiscal</w:t>
      </w:r>
      <w:r w:rsidRPr="00CE46F6">
        <w:rPr>
          <w:rStyle w:val="Ninguno"/>
          <w:rFonts w:ascii="Times New Roman" w:hAnsi="Times New Roman" w:cs="Times New Roman"/>
          <w:sz w:val="22"/>
          <w:szCs w:val="22"/>
          <w:shd w:val="clear" w:color="auto" w:fill="FFFFFF"/>
        </w:rPr>
        <w:t>í</w:t>
      </w:r>
      <w:r w:rsidRPr="00CE46F6">
        <w:rPr>
          <w:rStyle w:val="Ninguno"/>
          <w:rFonts w:ascii="Times New Roman" w:hAnsi="Times New Roman" w:cs="Times New Roman"/>
          <w:sz w:val="22"/>
          <w:szCs w:val="22"/>
          <w:shd w:val="clear" w:color="auto" w:fill="FFFFFF"/>
          <w:lang w:val="es-ES_tradnl"/>
        </w:rPr>
        <w:t>a General del Estado</w:t>
      </w:r>
      <w:r w:rsidRPr="00CE46F6">
        <w:rPr>
          <w:rStyle w:val="Ninguno"/>
          <w:rFonts w:ascii="Times New Roman" w:hAnsi="Times New Roman" w:cs="Times New Roman"/>
          <w:sz w:val="22"/>
          <w:szCs w:val="22"/>
          <w:shd w:val="clear" w:color="auto" w:fill="FFFFFF"/>
        </w:rPr>
        <w:t>.</w:t>
      </w:r>
    </w:p>
    <w:p w:rsidR="00187432" w:rsidRPr="00CE46F6" w:rsidRDefault="00187432" w:rsidP="00187432">
      <w:pPr>
        <w:pStyle w:val="Predeterminado"/>
        <w:numPr>
          <w:ilvl w:val="0"/>
          <w:numId w:val="48"/>
        </w:numPr>
        <w:spacing w:before="0" w:line="560" w:lineRule="atLeast"/>
        <w:jc w:val="both"/>
        <w:rPr>
          <w:rStyle w:val="Ninguno"/>
          <w:rFonts w:ascii="Times New Roman" w:hAnsi="Times New Roman" w:cs="Times New Roman"/>
          <w:sz w:val="22"/>
          <w:szCs w:val="22"/>
        </w:rPr>
      </w:pPr>
      <w:r w:rsidRPr="00CE46F6">
        <w:rPr>
          <w:rStyle w:val="Ninguno"/>
          <w:rFonts w:ascii="Times New Roman" w:hAnsi="Times New Roman" w:cs="Times New Roman"/>
          <w:sz w:val="22"/>
          <w:szCs w:val="22"/>
          <w:shd w:val="clear" w:color="auto" w:fill="FFFFFF"/>
        </w:rPr>
        <w:t>Contralorí</w:t>
      </w:r>
      <w:r w:rsidRPr="00CE46F6">
        <w:rPr>
          <w:rStyle w:val="Ninguno"/>
          <w:rFonts w:ascii="Times New Roman" w:hAnsi="Times New Roman" w:cs="Times New Roman"/>
          <w:sz w:val="22"/>
          <w:szCs w:val="22"/>
          <w:shd w:val="clear" w:color="auto" w:fill="FFFFFF"/>
          <w:lang w:val="es-ES_tradnl"/>
        </w:rPr>
        <w:t>a General del Estado</w:t>
      </w:r>
      <w:r w:rsidRPr="00CE46F6">
        <w:rPr>
          <w:rStyle w:val="Ninguno"/>
          <w:rFonts w:ascii="Times New Roman" w:hAnsi="Times New Roman" w:cs="Times New Roman"/>
          <w:sz w:val="22"/>
          <w:szCs w:val="22"/>
          <w:shd w:val="clear" w:color="auto" w:fill="FFFFFF"/>
        </w:rPr>
        <w:t>.</w:t>
      </w:r>
    </w:p>
    <w:p w:rsidR="00187432" w:rsidRPr="00CE46F6" w:rsidRDefault="00187432" w:rsidP="00187432">
      <w:pPr>
        <w:pStyle w:val="Predeterminado"/>
        <w:numPr>
          <w:ilvl w:val="0"/>
          <w:numId w:val="48"/>
        </w:numPr>
        <w:spacing w:before="0" w:line="560" w:lineRule="atLeast"/>
        <w:jc w:val="both"/>
        <w:rPr>
          <w:rStyle w:val="Ninguno"/>
          <w:rFonts w:ascii="Times New Roman" w:hAnsi="Times New Roman" w:cs="Times New Roman"/>
          <w:sz w:val="22"/>
          <w:szCs w:val="22"/>
        </w:rPr>
      </w:pPr>
      <w:r w:rsidRPr="00CE46F6">
        <w:rPr>
          <w:rStyle w:val="Ninguno"/>
          <w:rFonts w:ascii="Times New Roman" w:hAnsi="Times New Roman" w:cs="Times New Roman"/>
          <w:sz w:val="22"/>
          <w:szCs w:val="22"/>
          <w:shd w:val="clear" w:color="auto" w:fill="FFFFFF"/>
          <w:lang w:val="es-ES_tradnl"/>
        </w:rPr>
        <w:t>Servicio de Rentas Internas</w:t>
      </w:r>
      <w:r w:rsidRPr="00CE46F6">
        <w:rPr>
          <w:rStyle w:val="Ninguno"/>
          <w:rFonts w:ascii="Times New Roman" w:hAnsi="Times New Roman" w:cs="Times New Roman"/>
          <w:sz w:val="22"/>
          <w:szCs w:val="22"/>
          <w:shd w:val="clear" w:color="auto" w:fill="FFFFFF"/>
        </w:rPr>
        <w:t>.</w:t>
      </w:r>
    </w:p>
    <w:p w:rsidR="00187432" w:rsidRPr="00CE46F6" w:rsidRDefault="00187432" w:rsidP="00187432">
      <w:pPr>
        <w:pStyle w:val="Predeterminado"/>
        <w:numPr>
          <w:ilvl w:val="0"/>
          <w:numId w:val="48"/>
        </w:numPr>
        <w:spacing w:before="0" w:line="560" w:lineRule="atLeast"/>
        <w:jc w:val="both"/>
        <w:rPr>
          <w:rStyle w:val="Ninguno"/>
          <w:rFonts w:ascii="Times New Roman" w:hAnsi="Times New Roman" w:cs="Times New Roman"/>
          <w:sz w:val="22"/>
          <w:szCs w:val="22"/>
          <w:lang w:val="pt-PT"/>
        </w:rPr>
      </w:pPr>
      <w:r w:rsidRPr="00CE46F6">
        <w:rPr>
          <w:rStyle w:val="Ninguno"/>
          <w:rFonts w:ascii="Times New Roman" w:hAnsi="Times New Roman" w:cs="Times New Roman"/>
          <w:sz w:val="22"/>
          <w:szCs w:val="22"/>
          <w:shd w:val="clear" w:color="auto" w:fill="FFFFFF"/>
          <w:lang w:val="pt-PT"/>
        </w:rPr>
        <w:t>Superintendencia de Bancos.</w:t>
      </w:r>
    </w:p>
    <w:p w:rsidR="00187432" w:rsidRPr="00CE46F6" w:rsidRDefault="00187432" w:rsidP="00187432">
      <w:pPr>
        <w:pStyle w:val="Predeterminado"/>
        <w:spacing w:before="0" w:line="240" w:lineRule="auto"/>
        <w:rPr>
          <w:rStyle w:val="Ninguno"/>
          <w:rFonts w:ascii="Times New Roman" w:eastAsia="Times Roman" w:hAnsi="Times New Roman" w:cs="Times New Roman"/>
          <w:sz w:val="22"/>
          <w:szCs w:val="22"/>
          <w:shd w:val="clear" w:color="auto" w:fill="FFFFFF"/>
        </w:rPr>
      </w:pPr>
    </w:p>
    <w:p w:rsidR="00187432" w:rsidRPr="00CE46F6" w:rsidRDefault="00187432" w:rsidP="00187432">
      <w:pPr>
        <w:pStyle w:val="Predeterminado"/>
        <w:spacing w:before="0" w:line="560" w:lineRule="atLeast"/>
        <w:jc w:val="both"/>
        <w:rPr>
          <w:rFonts w:ascii="Times New Roman" w:hAnsi="Times New Roman" w:cs="Times New Roman"/>
          <w:sz w:val="22"/>
          <w:szCs w:val="22"/>
        </w:rPr>
      </w:pPr>
      <w:r w:rsidRPr="00CE46F6">
        <w:rPr>
          <w:rStyle w:val="Ninguno"/>
          <w:rFonts w:ascii="Times New Roman" w:hAnsi="Times New Roman" w:cs="Times New Roman"/>
          <w:sz w:val="22"/>
          <w:szCs w:val="22"/>
          <w:shd w:val="clear" w:color="auto" w:fill="FFFFFF"/>
          <w:lang w:val="es-ES_tradnl"/>
        </w:rPr>
        <w:t>Finalmente, los y las</w:t>
      </w:r>
      <w:r>
        <w:rPr>
          <w:rStyle w:val="Ninguno"/>
          <w:rFonts w:ascii="Times New Roman" w:hAnsi="Times New Roman" w:cs="Times New Roman"/>
          <w:sz w:val="22"/>
          <w:szCs w:val="22"/>
          <w:shd w:val="clear" w:color="auto" w:fill="FFFFFF"/>
          <w:lang w:val="es-ES_tradnl"/>
        </w:rPr>
        <w:t xml:space="preserve"> asambleístas </w:t>
      </w:r>
      <w:r w:rsidRPr="00CE46F6">
        <w:rPr>
          <w:rStyle w:val="Ninguno"/>
          <w:rFonts w:ascii="Times New Roman" w:hAnsi="Times New Roman" w:cs="Times New Roman"/>
          <w:sz w:val="22"/>
          <w:szCs w:val="22"/>
          <w:shd w:val="clear" w:color="auto" w:fill="FFFFFF"/>
          <w:lang w:val="es-ES_tradnl"/>
        </w:rPr>
        <w:t xml:space="preserve">de esta </w:t>
      </w:r>
      <w:r w:rsidRPr="00CE46F6">
        <w:rPr>
          <w:rStyle w:val="Ninguno"/>
          <w:rFonts w:ascii="Times New Roman" w:hAnsi="Times New Roman" w:cs="Times New Roman"/>
          <w:sz w:val="22"/>
          <w:szCs w:val="22"/>
          <w:shd w:val="clear" w:color="auto" w:fill="FFFFFF"/>
        </w:rPr>
        <w:t>Comisión</w:t>
      </w:r>
      <w:r w:rsidRPr="00CE46F6">
        <w:rPr>
          <w:rStyle w:val="Ninguno"/>
          <w:rFonts w:ascii="Times New Roman" w:hAnsi="Times New Roman" w:cs="Times New Roman"/>
          <w:sz w:val="22"/>
          <w:szCs w:val="22"/>
          <w:shd w:val="clear" w:color="auto" w:fill="FFFFFF"/>
          <w:lang w:val="it-IT"/>
        </w:rPr>
        <w:t xml:space="preserve">n continuarán </w:t>
      </w:r>
      <w:r w:rsidRPr="00CE46F6">
        <w:rPr>
          <w:rStyle w:val="Ninguno"/>
          <w:rFonts w:ascii="Times New Roman" w:hAnsi="Times New Roman" w:cs="Times New Roman"/>
          <w:sz w:val="22"/>
          <w:szCs w:val="22"/>
          <w:shd w:val="clear" w:color="auto" w:fill="FFFFFF"/>
          <w:lang w:val="es-ES_tradnl"/>
        </w:rPr>
        <w:t>ejerciendo su deber de fiscalización a las instituciones del Estado en lo relativo al contenido de este informe.</w:t>
      </w:r>
    </w:p>
    <w:p w:rsidR="00187432" w:rsidRDefault="00187432" w:rsidP="00187432">
      <w:pPr>
        <w:tabs>
          <w:tab w:val="left" w:pos="5205"/>
        </w:tabs>
        <w:spacing w:after="240" w:line="360" w:lineRule="auto"/>
        <w:jc w:val="both"/>
        <w:rPr>
          <w:rFonts w:ascii="Times New Roman" w:hAnsi="Times New Roman" w:cs="Times New Roman"/>
          <w:lang w:val="es-ES_tradnl"/>
        </w:rPr>
      </w:pPr>
    </w:p>
    <w:p w:rsidR="00187432" w:rsidRPr="00187432" w:rsidRDefault="00187432" w:rsidP="00187432">
      <w:pPr>
        <w:tabs>
          <w:tab w:val="left" w:pos="5205"/>
        </w:tabs>
        <w:spacing w:after="240" w:line="360" w:lineRule="auto"/>
        <w:jc w:val="both"/>
        <w:rPr>
          <w:rFonts w:ascii="Times New Roman" w:hAnsi="Times New Roman" w:cs="Times New Roman"/>
          <w:lang w:val="es-ES_tradnl"/>
        </w:rPr>
      </w:pPr>
    </w:p>
    <w:p w:rsidR="006A4D59" w:rsidRPr="0067008A" w:rsidRDefault="00921711" w:rsidP="00677E33">
      <w:pPr>
        <w:spacing w:after="240" w:line="360" w:lineRule="auto"/>
        <w:rPr>
          <w:rFonts w:ascii="Times New Roman" w:hAnsi="Times New Roman" w:cs="Times New Roman"/>
          <w:b/>
        </w:rPr>
      </w:pPr>
      <w:r w:rsidRPr="0067008A">
        <w:rPr>
          <w:rFonts w:ascii="Times New Roman" w:hAnsi="Times New Roman" w:cs="Times New Roman"/>
          <w:b/>
        </w:rPr>
        <w:t>Asambleísta Ponente</w:t>
      </w:r>
    </w:p>
    <w:p w:rsidR="006A4D59" w:rsidRPr="0067008A" w:rsidRDefault="006A4D59" w:rsidP="00677E33">
      <w:pPr>
        <w:spacing w:after="240" w:line="360" w:lineRule="auto"/>
        <w:rPr>
          <w:rFonts w:ascii="Times New Roman" w:hAnsi="Times New Roman" w:cs="Times New Roman"/>
          <w:b/>
        </w:rPr>
      </w:pPr>
    </w:p>
    <w:p w:rsidR="006A4D59" w:rsidRPr="0067008A" w:rsidRDefault="00921711" w:rsidP="00677E33">
      <w:pPr>
        <w:spacing w:after="240" w:line="360" w:lineRule="auto"/>
        <w:rPr>
          <w:rFonts w:ascii="Times New Roman" w:hAnsi="Times New Roman" w:cs="Times New Roman"/>
          <w:highlight w:val="green"/>
        </w:rPr>
      </w:pPr>
      <w:r w:rsidRPr="0067008A">
        <w:rPr>
          <w:rFonts w:ascii="Times New Roman" w:hAnsi="Times New Roman" w:cs="Times New Roman"/>
        </w:rPr>
        <w:t xml:space="preserve">El asambleísta ponente será </w:t>
      </w:r>
    </w:p>
    <w:p w:rsidR="006A4D59" w:rsidRPr="0067008A" w:rsidRDefault="006A4D59" w:rsidP="00677E33">
      <w:pPr>
        <w:spacing w:after="240" w:line="360" w:lineRule="auto"/>
        <w:rPr>
          <w:rFonts w:ascii="Times New Roman" w:hAnsi="Times New Roman" w:cs="Times New Roman"/>
          <w:b/>
        </w:rPr>
      </w:pPr>
    </w:p>
    <w:p w:rsidR="006A4D59" w:rsidRPr="0067008A" w:rsidRDefault="00921711" w:rsidP="00677E33">
      <w:pPr>
        <w:spacing w:after="240" w:line="360" w:lineRule="auto"/>
        <w:rPr>
          <w:rFonts w:ascii="Times New Roman" w:hAnsi="Times New Roman" w:cs="Times New Roman"/>
          <w:b/>
        </w:rPr>
      </w:pPr>
      <w:r w:rsidRPr="0067008A">
        <w:rPr>
          <w:rFonts w:ascii="Times New Roman" w:hAnsi="Times New Roman" w:cs="Times New Roman"/>
          <w:b/>
        </w:rPr>
        <w:t>Nombre y firma de las y los asambleístas que suscriben el informe</w:t>
      </w:r>
    </w:p>
    <w:p w:rsidR="006A4D59" w:rsidRPr="0067008A" w:rsidRDefault="00921711" w:rsidP="00677E33">
      <w:pPr>
        <w:spacing w:after="240" w:line="360" w:lineRule="auto"/>
        <w:rPr>
          <w:rFonts w:ascii="Times New Roman" w:hAnsi="Times New Roman" w:cs="Times New Roman"/>
          <w:b/>
        </w:rPr>
      </w:pPr>
      <w:r w:rsidRPr="0067008A">
        <w:rPr>
          <w:rFonts w:ascii="Times New Roman" w:hAnsi="Times New Roman" w:cs="Times New Roman"/>
          <w:b/>
        </w:rPr>
        <w:t>Certificación de la secretaria relatora de los días en que fue debatido</w:t>
      </w:r>
    </w:p>
    <w:p w:rsidR="006A4D59" w:rsidRPr="0067008A" w:rsidRDefault="00921711" w:rsidP="00677E33">
      <w:pPr>
        <w:spacing w:after="240" w:line="360" w:lineRule="auto"/>
        <w:rPr>
          <w:rFonts w:ascii="Times New Roman" w:hAnsi="Times New Roman" w:cs="Times New Roman"/>
          <w:b/>
        </w:rPr>
      </w:pPr>
      <w:r w:rsidRPr="0067008A">
        <w:rPr>
          <w:rFonts w:ascii="Times New Roman" w:hAnsi="Times New Roman" w:cs="Times New Roman"/>
          <w:b/>
        </w:rPr>
        <w:t>Nombre y firma de la secretaria relatora</w:t>
      </w:r>
    </w:p>
    <w:p w:rsidR="006A4D59" w:rsidRPr="0067008A" w:rsidRDefault="00921711" w:rsidP="00677E33">
      <w:pPr>
        <w:spacing w:after="240" w:line="360" w:lineRule="auto"/>
        <w:rPr>
          <w:rFonts w:ascii="Times New Roman" w:hAnsi="Times New Roman" w:cs="Times New Roman"/>
          <w:b/>
        </w:rPr>
      </w:pPr>
      <w:r w:rsidRPr="0067008A">
        <w:rPr>
          <w:rFonts w:ascii="Times New Roman" w:hAnsi="Times New Roman" w:cs="Times New Roman"/>
          <w:b/>
        </w:rPr>
        <w:t>Anexos</w:t>
      </w:r>
    </w:p>
    <w:p w:rsidR="006A4D59" w:rsidRPr="0067008A" w:rsidRDefault="006A4D59" w:rsidP="00677E33">
      <w:pPr>
        <w:spacing w:after="240" w:line="360" w:lineRule="auto"/>
        <w:ind w:left="720"/>
        <w:rPr>
          <w:rFonts w:ascii="Times New Roman" w:hAnsi="Times New Roman" w:cs="Times New Roman"/>
          <w:bCs/>
        </w:rPr>
      </w:pP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Resolución del Pleno</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 xml:space="preserve">Cronograma de la Comisión </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Ley Pacto Ético, actas de primer y segundo debate, informes de la Comisión de Justicia y exposición de motivos de la ley</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Dictamen Corte Constitucional sobre Pregunta Consulta Popular y comparecencias ciudadanas ante la Corte</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Resultados CNE sobre Pregunta Consulta Popular</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Resolución SRI lista paraísos fiscales</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Resolución SRI lista regímenes de menor imposición</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Acuerdo 025-CG-2019 Vigente desde su suscripción el 01/octubre/2019 - Publicado en la Edición Especial 140 del R.O. de 26/noviembre/2019</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Ley Declaraciones Juradas</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Acuerdo 001-CG-2019 Instructivo examen especial declaraciones juradas</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Extractos del COIP</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Extractos Código de la Democracia (financiamiento y prohibición offshore)</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 xml:space="preserve">Extractos de la legislación tributaria: renta global, residencia, grupos económicos, presunción impuesto herencias </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Extracto ley de mercado de valores (COMF), contenido básico del contrato de fideicomiso</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Dictamen CC “hecho económico”</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Extractos ley bancaria panameña</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Acuerdo 001-2004 de Superintendencia de Bancos de Panamá</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Resoluciones y avisos al público de Banisi de la Superintendencia de Bancos de Panamá 2007-2020</w:t>
      </w:r>
    </w:p>
    <w:p w:rsidR="006A4D59" w:rsidRPr="0067008A" w:rsidRDefault="00921711" w:rsidP="007E300D">
      <w:pPr>
        <w:numPr>
          <w:ilvl w:val="0"/>
          <w:numId w:val="44"/>
        </w:numPr>
        <w:spacing w:after="240" w:line="360" w:lineRule="auto"/>
        <w:jc w:val="both"/>
        <w:rPr>
          <w:rFonts w:ascii="Times New Roman" w:hAnsi="Times New Roman" w:cs="Times New Roman"/>
          <w:bCs/>
        </w:rPr>
      </w:pPr>
      <w:r w:rsidRPr="0067008A">
        <w:rPr>
          <w:rFonts w:ascii="Times New Roman" w:hAnsi="Times New Roman" w:cs="Times New Roman"/>
          <w:bCs/>
        </w:rPr>
        <w:t>SBP-0053-2020 de 24 de marzo de 2020</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Trámite SRI reconoce tiene control de Banisi</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Oficio SB de 2017</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 xml:space="preserve">Senencia Corte Constitucional – caso Yunda </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Gaceta Oficial 19 oct 2020 apostillada</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Notarización apostillada fundación Banisi International Foundation</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 xml:space="preserve">Notarización cambio de apoderado Banderilla </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Materialización informes a accionistas de Banisi y Banisi Holding a dic 2020, publicados 17 marzo 2021</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Evolución ganancias y variación patrimonial de Banisi</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Evolución ganancias y variación patrimonial de BG</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Grupos Económicos SRI años anteriores</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 xml:space="preserve">Requisitos para actualizar grupos económicos SRI </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Respuesta SRI sobre declaraciones patrimoniales</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Respuesta SRI sobre herencia hijos</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Publicación ICIJ Power Players</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Publicación ICIJ con documentos Barberini y Dakota</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Publicación El Universo</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Publicación El Pais</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 xml:space="preserve">Publicación Real Deal </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 xml:space="preserve">Publicación EFE 29 octubre </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Publicación Público España (yate)</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Publicaciones CEPR</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Publicaciones Página 12 2017 y 2020</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Publicación El Universo Paradise Papers 2017</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Publicación ICIJ Andean y Brother’s</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Publicación Latindadd sobre Banisi</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Hilos de PhillipAMLC</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Informe sobre repercusión mediática internacional</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Carta del Presidente de la República a la Comisión</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Materialización de la entrevista televisada TC</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Escrituras públicas declaraciones juramentadas GLM</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Escrituras públicas capitulación matrimonial 1998</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Escrituras públicas fideicomiso GLM</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Declaración patrimonial GLM (abierta) y parte relevante de la reservada</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Publicación El Diario Ar (Durán Barba)</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Respuesta CNE sobre pagos a DB</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Expediente completo CNE y TCE sobre impugnación por offshore</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Texto del Acuerdo de Intercambio de Información con EEUU</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Estatutos del grupo Egmont</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Manual GAFI sobre beneficiarios finales</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Transcripciones de comparecencias</w:t>
      </w:r>
    </w:p>
    <w:p w:rsidR="006A4D59" w:rsidRPr="0067008A" w:rsidRDefault="00921711" w:rsidP="007E300D">
      <w:pPr>
        <w:numPr>
          <w:ilvl w:val="0"/>
          <w:numId w:val="44"/>
        </w:numPr>
        <w:spacing w:after="240" w:line="360" w:lineRule="auto"/>
        <w:rPr>
          <w:rFonts w:ascii="Times New Roman" w:hAnsi="Times New Roman" w:cs="Times New Roman"/>
          <w:bCs/>
        </w:rPr>
      </w:pPr>
      <w:r w:rsidRPr="0067008A">
        <w:rPr>
          <w:rFonts w:ascii="Times New Roman" w:hAnsi="Times New Roman" w:cs="Times New Roman"/>
          <w:bCs/>
        </w:rPr>
        <w:t>Matriz de pedidos de información de Comisión y otros asambleístas</w:t>
      </w:r>
    </w:p>
    <w:sectPr w:rsidR="006A4D59" w:rsidRPr="0067008A">
      <w:headerReference w:type="even" r:id="rId51"/>
      <w:headerReference w:type="default" r:id="rId52"/>
      <w:footerReference w:type="default" r:id="rId53"/>
      <w:headerReference w:type="first" r:id="rId54"/>
      <w:pgSz w:w="11906" w:h="16838"/>
      <w:pgMar w:top="1440" w:right="1440" w:bottom="1440" w:left="1440" w:header="0" w:footer="72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B3EA7" w:rsidRDefault="008B3EA7">
      <w:pPr>
        <w:spacing w:line="240" w:lineRule="auto"/>
      </w:pPr>
      <w:r>
        <w:separator/>
      </w:r>
    </w:p>
  </w:endnote>
  <w:endnote w:type="continuationSeparator" w:id="0">
    <w:p w:rsidR="008B3EA7" w:rsidRDefault="008B3E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Wingdings 2">
    <w:panose1 w:val="05020102010507070707"/>
    <w:charset w:val="02"/>
    <w:family w:val="decorative"/>
    <w:pitch w:val="variable"/>
    <w:sig w:usb0="00000000" w:usb1="10000000" w:usb2="00000000" w:usb3="00000000" w:csb0="80000000" w:csb1="00000000"/>
  </w:font>
  <w:font w:name="OpenSymbol">
    <w:altName w:val="Calibri"/>
    <w:charset w:val="01"/>
    <w:family w:val="auto"/>
    <w:pitch w:val="default"/>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swiss"/>
    <w:pitch w:val="variable"/>
    <w:sig w:usb0="E1000AEF" w:usb1="5000A1FF" w:usb2="00000000" w:usb3="00000000" w:csb0="000001BF" w:csb1="00000000"/>
  </w:font>
  <w:font w:name="Baskerville">
    <w:charset w:val="00"/>
    <w:family w:val="roman"/>
    <w:pitch w:val="variable"/>
    <w:sig w:usb0="80000067" w:usb1="02000000" w:usb2="00000000" w:usb3="00000000" w:csb0="0000019F" w:csb1="00000000"/>
  </w:font>
  <w:font w:name="Mangal">
    <w:panose1 w:val="02040503050203030202"/>
    <w:charset w:val="01"/>
    <w:family w:val="roman"/>
    <w:pitch w:val="variable"/>
    <w:sig w:usb0="00002000" w:usb1="00000000" w:usb2="00000000" w:usb3="00000000" w:csb0="00000000" w:csb1="00000000"/>
  </w:font>
  <w:font w:name="Times">
    <w:charset w:val="00"/>
    <w:family w:val="auto"/>
    <w:pitch w:val="variable"/>
    <w:sig w:usb0="E00002FF" w:usb1="5000205A"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Times Roman">
    <w:altName w:val="Times New Roman"/>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07CD2" w:rsidRDefault="00807C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07CD2" w:rsidRDefault="00807CD2">
    <w:pPr>
      <w:jc w:val="right"/>
    </w:pPr>
    <w:r>
      <w:fldChar w:fldCharType="begin"/>
    </w:r>
    <w:r>
      <w:instrText>PAGE</w:instrText>
    </w:r>
    <w:r>
      <w:fldChar w:fldCharType="separate"/>
    </w:r>
    <w:r>
      <w:t>201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07CD2" w:rsidRDefault="00807CD2">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07CD2" w:rsidRDefault="00807CD2">
    <w:pPr>
      <w:jc w:val="right"/>
    </w:pPr>
    <w:r>
      <w:fldChar w:fldCharType="begin"/>
    </w:r>
    <w:r>
      <w:instrText>PAGE</w:instrText>
    </w:r>
    <w:r>
      <w:fldChar w:fldCharType="separate"/>
    </w:r>
    <w:r>
      <w:t>201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07CD2" w:rsidRDefault="00807CD2">
    <w:pPr>
      <w:jc w:val="right"/>
    </w:pPr>
    <w:r>
      <w:fldChar w:fldCharType="begin"/>
    </w:r>
    <w:r>
      <w:instrText>PAGE</w:instrText>
    </w:r>
    <w:r>
      <w:fldChar w:fldCharType="separate"/>
    </w:r>
    <w:r>
      <w:t>201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B3EA7" w:rsidRDefault="008B3EA7">
      <w:r>
        <w:separator/>
      </w:r>
    </w:p>
  </w:footnote>
  <w:footnote w:type="continuationSeparator" w:id="0">
    <w:p w:rsidR="008B3EA7" w:rsidRDefault="008B3EA7">
      <w:r>
        <w:continuationSeparator/>
      </w:r>
    </w:p>
  </w:footnote>
  <w:footnote w:id="1">
    <w:p w:rsidR="00807CD2" w:rsidRDefault="00807CD2">
      <w:pPr>
        <w:spacing w:line="240" w:lineRule="auto"/>
        <w:jc w:val="both"/>
        <w:rPr>
          <w:sz w:val="18"/>
          <w:szCs w:val="18"/>
        </w:rPr>
      </w:pPr>
      <w:r>
        <w:rPr>
          <w:rStyle w:val="Caracteresdenotaalpie"/>
        </w:rPr>
        <w:footnoteRef/>
      </w:r>
      <w:r>
        <w:rPr>
          <w:vertAlign w:val="superscript"/>
        </w:rPr>
        <w:tab/>
      </w:r>
      <w:r>
        <w:rPr>
          <w:sz w:val="18"/>
          <w:szCs w:val="18"/>
        </w:rPr>
        <w:t xml:space="preserve"> FERRAJOLI Luigi, GARANTÍAS, Revista Jueces para la Democracia, No. 38, Madrid 2000, p.39. Según Luigi Ferrajoli, la diferencia entre Derechos y Garantías radica en que por derecho entendemos todos aquellos derechos que corresponden universalmente a los seres humanos por el hecho de der tales; mientras que las garantías son las obligaciones que se derivan de los derechos, existiendo, entonces, garantías positivas y negativa, Las primeras obligan al Estado a generar mecanismos para hacer efectivos los derechos y las últimas, establecen al Estado una obligación de abstención del Estado.</w:t>
      </w:r>
    </w:p>
    <w:p w:rsidR="00807CD2" w:rsidRDefault="00807CD2">
      <w:pPr>
        <w:spacing w:line="240" w:lineRule="auto"/>
      </w:pPr>
    </w:p>
  </w:footnote>
  <w:footnote w:id="2">
    <w:p w:rsidR="00807CD2" w:rsidRDefault="00807CD2">
      <w:pPr>
        <w:pStyle w:val="Textonotapie"/>
        <w:rPr>
          <w:lang w:val="en-US"/>
        </w:rPr>
      </w:pPr>
      <w:r>
        <w:rPr>
          <w:rStyle w:val="Caracteresdenotaalpie"/>
        </w:rPr>
        <w:footnoteRef/>
      </w:r>
      <w:r w:rsidRPr="00677E33">
        <w:rPr>
          <w:rStyle w:val="FootnoteCharacters"/>
          <w:lang w:val="en-US"/>
        </w:rPr>
        <w:tab/>
      </w:r>
      <w:r>
        <w:rPr>
          <w:lang w:val="en-US"/>
        </w:rPr>
        <w:t xml:space="preserve"> Ecuadorian president, linked to US real estate, named in Pandora Papers. </w:t>
      </w:r>
      <w:r>
        <w:rPr>
          <w:i/>
          <w:iCs/>
          <w:lang w:val="en-US"/>
        </w:rPr>
        <w:t xml:space="preserve">Massive records trove shows Guillermo Lasso’s ties to offshore trusts, </w:t>
      </w:r>
      <w:hyperlink r:id="rId1">
        <w:r>
          <w:rPr>
            <w:rStyle w:val="EnlacedeInternet"/>
            <w:i/>
            <w:iCs/>
            <w:lang w:val="en-US"/>
          </w:rPr>
          <w:t>https://therealdeal.com/miami/2021/10/04/ecuadorian-president-linked-to-us-real-estate-named-in-pandora-papers/</w:t>
        </w:r>
      </w:hyperlink>
      <w:r>
        <w:rPr>
          <w:i/>
          <w:iCs/>
          <w:lang w:val="en-US"/>
        </w:rPr>
        <w:t xml:space="preserve"> </w:t>
      </w:r>
    </w:p>
    <w:p w:rsidR="00807CD2" w:rsidRPr="00677E33" w:rsidRDefault="00807CD2">
      <w:pPr>
        <w:pStyle w:val="Textonotapie"/>
        <w:rPr>
          <w:lang w:val="en-US"/>
        </w:rPr>
      </w:pPr>
    </w:p>
  </w:footnote>
  <w:footnote w:id="3">
    <w:p w:rsidR="00807CD2" w:rsidRDefault="00807CD2">
      <w:pPr>
        <w:pStyle w:val="Textonotapie"/>
      </w:pPr>
      <w:r>
        <w:rPr>
          <w:rStyle w:val="Caracteresdenotaalpie"/>
        </w:rPr>
        <w:footnoteRef/>
      </w:r>
      <w:r>
        <w:rPr>
          <w:rStyle w:val="FootnoteCharacters"/>
        </w:rPr>
        <w:tab/>
      </w:r>
      <w:r>
        <w:t xml:space="preserve"> </w:t>
      </w:r>
      <w:r>
        <w:rPr>
          <w:sz w:val="18"/>
          <w:szCs w:val="18"/>
          <w:lang w:val="es-MX"/>
        </w:rPr>
        <w:t xml:space="preserve">[Grupos Económicos SRI: </w:t>
      </w:r>
      <w:hyperlink r:id="rId2">
        <w:r>
          <w:rPr>
            <w:rStyle w:val="EnlacedeInternet"/>
            <w:sz w:val="18"/>
            <w:szCs w:val="18"/>
            <w:lang w:val="es-MX"/>
          </w:rPr>
          <w:t>https://www.sri.gob.ec/o/sri-portlet-biblioteca-alfresco-internet/descargar/81af3b2a-88b0-4fa5-9b5b-6b7d65c4c6b4/Conformación%20de%20los%20Grupos%20Económicos%20y%20su%20Comportamiento%20Tributario.xlsx</w:t>
        </w:r>
      </w:hyperlink>
      <w:r>
        <w:rPr>
          <w:sz w:val="18"/>
          <w:szCs w:val="18"/>
          <w:lang w:val="es-MX"/>
        </w:rPr>
        <w:t xml:space="preserve"> ]</w:t>
      </w:r>
    </w:p>
    <w:p w:rsidR="00807CD2" w:rsidRDefault="00807CD2">
      <w:pPr>
        <w:pStyle w:val="Textonotapie"/>
      </w:pPr>
    </w:p>
  </w:footnote>
  <w:footnote w:id="4">
    <w:p w:rsidR="00807CD2" w:rsidRDefault="00807CD2">
      <w:pPr>
        <w:pStyle w:val="Textonotapie"/>
      </w:pPr>
      <w:r>
        <w:rPr>
          <w:rStyle w:val="Caracteresdenotaalpie"/>
        </w:rPr>
        <w:footnoteRef/>
      </w:r>
      <w:r>
        <w:rPr>
          <w:rStyle w:val="FootnoteCharacters"/>
        </w:rPr>
        <w:tab/>
      </w:r>
      <w:r>
        <w:t xml:space="preserve"> </w:t>
      </w:r>
      <w:hyperlink r:id="rId3">
        <w:r>
          <w:rPr>
            <w:rStyle w:val="EnlacedeInternet"/>
          </w:rPr>
          <w:t>https://www.banisipanama.com/nuestra-historia/</w:t>
        </w:r>
      </w:hyperlink>
      <w:r>
        <w:t xml:space="preserve"> </w:t>
      </w:r>
    </w:p>
  </w:footnote>
  <w:footnote w:id="5">
    <w:p w:rsidR="00807CD2" w:rsidRDefault="00807CD2">
      <w:pPr>
        <w:pStyle w:val="Textonotapie"/>
        <w:jc w:val="both"/>
      </w:pPr>
      <w:r>
        <w:rPr>
          <w:rStyle w:val="Caracteresdenotaalpie"/>
        </w:rPr>
        <w:footnoteRef/>
      </w:r>
      <w:r w:rsidRPr="00CC67C2">
        <w:rPr>
          <w:rStyle w:val="FootnoteCharacters"/>
          <w:rFonts w:ascii="Cambria" w:hAnsi="Cambria"/>
        </w:rPr>
        <w:tab/>
      </w:r>
      <w:r w:rsidRPr="00CC67C2">
        <w:rPr>
          <w:rFonts w:ascii="Cambria" w:hAnsi="Cambria"/>
        </w:rPr>
        <w:t xml:space="preserve"> La información original se encontraba en idioma inglés y bajo el formato Linkurious. La traducción fue realizada por la Comisión Especializada Permanente de Garantías Constitucionales, Derechos Humanos, Derechos Colectivos y la Interculturalidad, ver </w:t>
      </w:r>
      <w:hyperlink r:id="rId4">
        <w:r w:rsidRPr="00CC67C2">
          <w:rPr>
            <w:rStyle w:val="EnlacedeInternet"/>
            <w:rFonts w:ascii="Cambria" w:hAnsi="Cambria"/>
          </w:rPr>
          <w:t>www.icij.org</w:t>
        </w:r>
      </w:hyperlink>
      <w:r w:rsidRPr="00CC67C2">
        <w:rPr>
          <w:rFonts w:ascii="Cambria" w:hAnsi="Cambria"/>
        </w:rPr>
        <w:t xml:space="preserve"> </w:t>
      </w:r>
    </w:p>
  </w:footnote>
  <w:footnote w:id="6">
    <w:p w:rsidR="00807CD2" w:rsidRDefault="00807CD2">
      <w:pPr>
        <w:pStyle w:val="Textonotapie"/>
        <w:jc w:val="both"/>
      </w:pPr>
      <w:r>
        <w:rPr>
          <w:rStyle w:val="Caracteresdenotaalpie"/>
        </w:rPr>
        <w:footnoteRef/>
      </w:r>
      <w:r w:rsidRPr="00CC67C2">
        <w:rPr>
          <w:rStyle w:val="FootnoteCharacters"/>
          <w:rFonts w:ascii="Cambria" w:hAnsi="Cambria"/>
        </w:rPr>
        <w:tab/>
      </w:r>
      <w:r w:rsidRPr="00CC67C2">
        <w:rPr>
          <w:rFonts w:ascii="Cambria" w:hAnsi="Cambria"/>
        </w:rPr>
        <w:t xml:space="preserve"> Las </w:t>
      </w:r>
      <w:r w:rsidRPr="00CC67C2">
        <w:rPr>
          <w:rFonts w:ascii="Cambria" w:hAnsi="Cambria"/>
          <w:b/>
        </w:rPr>
        <w:t>acciones</w:t>
      </w:r>
      <w:r w:rsidRPr="00CC67C2">
        <w:rPr>
          <w:rFonts w:ascii="Cambria" w:hAnsi="Cambria"/>
        </w:rPr>
        <w:t xml:space="preserve"> que Barberini Foundation tenía en la compañía Nora Group Investment Corp. fueron al fideicomiso Liberty Trust, ver </w:t>
      </w:r>
      <w:hyperlink r:id="rId5">
        <w:r w:rsidRPr="00CC67C2">
          <w:rPr>
            <w:rStyle w:val="EnlacedeInternet"/>
            <w:rFonts w:ascii="Cambria" w:hAnsi="Cambria"/>
          </w:rPr>
          <w:t>www.icij.org</w:t>
        </w:r>
      </w:hyperlink>
      <w:r w:rsidRPr="00CC67C2">
        <w:rPr>
          <w:rFonts w:ascii="Cambria" w:hAnsi="Cambria"/>
        </w:rPr>
        <w:t xml:space="preserve"> </w:t>
      </w:r>
    </w:p>
  </w:footnote>
  <w:footnote w:id="7">
    <w:p w:rsidR="00807CD2" w:rsidRDefault="00807CD2">
      <w:pPr>
        <w:pStyle w:val="Textonotapie"/>
      </w:pPr>
      <w:r>
        <w:rPr>
          <w:rStyle w:val="Caracteresdenotaalpie"/>
        </w:rPr>
        <w:footnoteRef/>
      </w:r>
      <w:r w:rsidRPr="00CC67C2">
        <w:rPr>
          <w:rStyle w:val="FootnoteCharacters"/>
          <w:rFonts w:ascii="Cambria" w:hAnsi="Cambria"/>
        </w:rPr>
        <w:tab/>
      </w:r>
      <w:r w:rsidRPr="00CC67C2">
        <w:rPr>
          <w:rFonts w:ascii="Cambria" w:hAnsi="Cambria"/>
        </w:rPr>
        <w:t xml:space="preserve"> Los </w:t>
      </w:r>
      <w:r w:rsidRPr="00CC67C2">
        <w:rPr>
          <w:rFonts w:ascii="Cambria" w:hAnsi="Cambria"/>
          <w:b/>
        </w:rPr>
        <w:t xml:space="preserve">activos </w:t>
      </w:r>
      <w:r w:rsidRPr="00CC67C2">
        <w:rPr>
          <w:rFonts w:ascii="Cambria" w:hAnsi="Cambria"/>
        </w:rPr>
        <w:t xml:space="preserve">de Nora Group Investment Corp. fueron transferidos a la empresa canadiense Liberty Holdings LP, perteneciente también al fideicomiso Liberty Trust ver </w:t>
      </w:r>
      <w:hyperlink r:id="rId6">
        <w:r w:rsidRPr="00CC67C2">
          <w:rPr>
            <w:rStyle w:val="EnlacedeInternet"/>
            <w:rFonts w:ascii="Cambria" w:hAnsi="Cambria"/>
          </w:rPr>
          <w:t>www.icij.org</w:t>
        </w:r>
      </w:hyperlink>
      <w:r w:rsidRPr="00CC67C2">
        <w:rPr>
          <w:rFonts w:ascii="Cambria" w:hAnsi="Cambria"/>
        </w:rPr>
        <w:t xml:space="preserve"> </w:t>
      </w:r>
    </w:p>
  </w:footnote>
  <w:footnote w:id="8">
    <w:p w:rsidR="00807CD2" w:rsidRDefault="00807CD2">
      <w:pPr>
        <w:pStyle w:val="Textonotapie"/>
        <w:jc w:val="both"/>
      </w:pPr>
      <w:r>
        <w:rPr>
          <w:rStyle w:val="Caracteresdenotaalpie"/>
        </w:rPr>
        <w:footnoteRef/>
      </w:r>
      <w:r w:rsidRPr="00CC67C2">
        <w:rPr>
          <w:rStyle w:val="FootnoteCharacters"/>
          <w:rFonts w:ascii="Cambria" w:hAnsi="Cambria"/>
        </w:rPr>
        <w:tab/>
      </w:r>
      <w:r w:rsidRPr="00CC67C2">
        <w:rPr>
          <w:rFonts w:ascii="Cambria" w:hAnsi="Cambria"/>
        </w:rPr>
        <w:t xml:space="preserve"> Las </w:t>
      </w:r>
      <w:r w:rsidRPr="00CC67C2">
        <w:rPr>
          <w:rFonts w:ascii="Cambria" w:hAnsi="Cambria"/>
          <w:b/>
        </w:rPr>
        <w:t>acciones</w:t>
      </w:r>
      <w:r w:rsidRPr="00CC67C2">
        <w:rPr>
          <w:rFonts w:ascii="Cambria" w:hAnsi="Cambria"/>
        </w:rPr>
        <w:t xml:space="preserve"> que Bernini Foundation tenía en la compañía Bretten Holdings Inc fueron al fideicomiso Bretten Trust, ver </w:t>
      </w:r>
      <w:hyperlink r:id="rId7">
        <w:r w:rsidRPr="00CC67C2">
          <w:rPr>
            <w:rStyle w:val="EnlacedeInternet"/>
            <w:rFonts w:ascii="Cambria" w:hAnsi="Cambria"/>
          </w:rPr>
          <w:t>www.icij.org</w:t>
        </w:r>
      </w:hyperlink>
      <w:r w:rsidRPr="00CC67C2">
        <w:rPr>
          <w:rFonts w:ascii="Cambria" w:hAnsi="Cambria"/>
        </w:rPr>
        <w:t xml:space="preserve"> </w:t>
      </w:r>
    </w:p>
  </w:footnote>
  <w:footnote w:id="9">
    <w:p w:rsidR="00807CD2" w:rsidRDefault="00807CD2">
      <w:pPr>
        <w:pStyle w:val="Textonotapie"/>
      </w:pPr>
      <w:r>
        <w:rPr>
          <w:rStyle w:val="Caracteresdenotaalpie"/>
        </w:rPr>
        <w:footnoteRef/>
      </w:r>
      <w:r>
        <w:rPr>
          <w:rStyle w:val="FootnoteCharacters"/>
        </w:rPr>
        <w:tab/>
      </w:r>
      <w:r>
        <w:t xml:space="preserve"> El fideicomiso Bretten Trust recibió las acciones que Bernini Foundation tenía en la compañía Bretten Holdings Inc, ver </w:t>
      </w:r>
      <w:hyperlink r:id="rId8">
        <w:r>
          <w:rPr>
            <w:rStyle w:val="EnlacedeInternet"/>
          </w:rPr>
          <w:t>www.icij.org</w:t>
        </w:r>
      </w:hyperlink>
      <w:r>
        <w:t xml:space="preserve"> </w:t>
      </w:r>
    </w:p>
  </w:footnote>
  <w:footnote w:id="10">
    <w:p w:rsidR="00807CD2" w:rsidRDefault="00807CD2">
      <w:pPr>
        <w:spacing w:line="240" w:lineRule="auto"/>
      </w:pPr>
      <w:r>
        <w:rPr>
          <w:rStyle w:val="Caracteresdenotaalpie"/>
        </w:rPr>
        <w:footnoteRef/>
      </w:r>
      <w:r>
        <w:rPr>
          <w:vertAlign w:val="superscript"/>
        </w:rPr>
        <w:tab/>
      </w:r>
      <w:r>
        <w:rPr>
          <w:sz w:val="20"/>
          <w:szCs w:val="20"/>
        </w:rPr>
        <w:t xml:space="preserve"> FUNDACIÓN Regional de Asesoría en Derechos Humanos, INREDH, “El Derecho a la Reparación en el procesamiento penal”. Serie Investigación Nro. 3, septiembre 2000, pág. 41 y 42.</w:t>
      </w:r>
    </w:p>
  </w:footnote>
  <w:footnote w:id="11">
    <w:p w:rsidR="00807CD2" w:rsidRDefault="00807CD2">
      <w:pPr>
        <w:spacing w:line="240" w:lineRule="auto"/>
        <w:jc w:val="both"/>
      </w:pPr>
      <w:r>
        <w:rPr>
          <w:rStyle w:val="Caracteresdenotaalpie"/>
        </w:rPr>
        <w:footnoteRef/>
      </w:r>
      <w:r>
        <w:rPr>
          <w:vertAlign w:val="superscript"/>
        </w:rPr>
        <w:tab/>
      </w:r>
      <w:r>
        <w:rPr>
          <w:sz w:val="20"/>
          <w:szCs w:val="20"/>
        </w:rPr>
        <w:t xml:space="preserve"> GARZA de Santos Iván, La responsabilidad política, de los servidores públicos en el sistema presidencial mexicano: el juicio político, </w:t>
      </w:r>
      <w:hyperlink r:id="rId9">
        <w:r>
          <w:rPr>
            <w:rStyle w:val="EnlacedeInternet"/>
            <w:color w:val="1155CC"/>
            <w:sz w:val="20"/>
            <w:szCs w:val="20"/>
          </w:rPr>
          <w:t>https://docs.google.com/document/d/1tRf_OvlJj2aWEwGsetCLlVGsk--_Nk5tyVS1fPAN0Wc/edit</w:t>
        </w:r>
      </w:hyperlink>
      <w:r>
        <w:rPr>
          <w:sz w:val="20"/>
          <w:szCs w:val="20"/>
        </w:rPr>
        <w:t>, revidado el 02 de noviembre de 2021.</w:t>
      </w:r>
    </w:p>
  </w:footnote>
  <w:footnote w:id="12">
    <w:p w:rsidR="00807CD2" w:rsidRDefault="00807CD2">
      <w:pPr>
        <w:spacing w:line="240" w:lineRule="auto"/>
      </w:pPr>
      <w:r>
        <w:rPr>
          <w:rStyle w:val="Caracteresdenotaalpie"/>
        </w:rPr>
        <w:footnoteRef/>
      </w:r>
      <w:r>
        <w:rPr>
          <w:vertAlign w:val="superscript"/>
        </w:rPr>
        <w:tab/>
      </w:r>
      <w:r>
        <w:rPr>
          <w:sz w:val="20"/>
          <w:szCs w:val="20"/>
        </w:rPr>
        <w:t xml:space="preserve"> Ibid.</w:t>
      </w:r>
    </w:p>
  </w:footnote>
  <w:footnote w:id="13">
    <w:p w:rsidR="00807CD2" w:rsidRDefault="00807CD2">
      <w:pPr>
        <w:spacing w:line="240" w:lineRule="auto"/>
        <w:jc w:val="both"/>
        <w:rPr>
          <w:color w:val="202124"/>
          <w:sz w:val="20"/>
          <w:szCs w:val="20"/>
        </w:rPr>
      </w:pPr>
      <w:r>
        <w:rPr>
          <w:rStyle w:val="Caracteresdenotaalpie"/>
        </w:rPr>
        <w:footnoteRef/>
      </w:r>
      <w:r>
        <w:rPr>
          <w:vertAlign w:val="superscript"/>
        </w:rPr>
        <w:tab/>
      </w:r>
      <w:r>
        <w:rPr>
          <w:sz w:val="20"/>
          <w:szCs w:val="20"/>
        </w:rPr>
        <w:t xml:space="preserve"> </w:t>
      </w:r>
      <w:r>
        <w:rPr>
          <w:color w:val="202124"/>
          <w:sz w:val="20"/>
          <w:szCs w:val="20"/>
        </w:rPr>
        <w:t>“ Art. 129.- La Asamblea Nacional podrá proceder al enjuiciamiento político de la Presidenta o Presidente, o de la Vicepresidenta o Vicepresidente de la República, a solicitud de al menos una tercera parte de sus miembros, en los siguientes casos: 1. Por delitos contra la seguridad del Estado. 2. Por delitos de concusión, cohecho, peculado o enriquecimiento ilícito. 3. Por delitos de genocidio, tortura, desaparición forzada de personas, secuestro u homicidio por razones políticas o de conciencia.</w:t>
      </w:r>
    </w:p>
    <w:p w:rsidR="00807CD2" w:rsidRDefault="00807CD2">
      <w:pPr>
        <w:spacing w:line="360" w:lineRule="auto"/>
        <w:jc w:val="both"/>
        <w:rPr>
          <w:color w:val="202124"/>
          <w:sz w:val="20"/>
          <w:szCs w:val="20"/>
        </w:rPr>
      </w:pPr>
    </w:p>
    <w:p w:rsidR="00807CD2" w:rsidRDefault="00807CD2">
      <w:pPr>
        <w:spacing w:line="240" w:lineRule="auto"/>
        <w:ind w:left="720"/>
        <w:jc w:val="both"/>
        <w:rPr>
          <w:color w:val="202124"/>
          <w:sz w:val="20"/>
          <w:szCs w:val="20"/>
        </w:rPr>
      </w:pPr>
      <w:r>
        <w:rPr>
          <w:color w:val="202124"/>
          <w:sz w:val="20"/>
          <w:szCs w:val="20"/>
        </w:rPr>
        <w:tab/>
        <w:t>Para iniciar el juicio político se requerirá el dictamen de admisibilidad de la Corte Constitucional, pero no será necesario el enjuiciamiento penal previo. En un plazo de setenta y dos horas, concluido el procedimiento establecido en la ley, la Asamblea Nacional resolverá motivadamente con base en las pruebas de descargo presentadas por la Presidenta o Presidente de la República. Para proceder a la censura y destitución se requerirá el voto favorable de las dos terceras partes de los miembros de la Asamblea Nacional. Si de la censura se derivan indicios de responsabilidad penal, se dispondrá que el asunto pase a conocimiento de la jueza o juez competente.</w:t>
      </w:r>
    </w:p>
    <w:p w:rsidR="00807CD2" w:rsidRDefault="00807CD2">
      <w:pPr>
        <w:spacing w:line="240" w:lineRule="auto"/>
        <w:ind w:left="720"/>
        <w:jc w:val="both"/>
        <w:rPr>
          <w:color w:val="202124"/>
          <w:sz w:val="20"/>
          <w:szCs w:val="20"/>
        </w:rPr>
      </w:pPr>
    </w:p>
    <w:p w:rsidR="00807CD2" w:rsidRDefault="00807CD2">
      <w:pPr>
        <w:spacing w:line="240" w:lineRule="auto"/>
        <w:ind w:left="720"/>
        <w:jc w:val="both"/>
        <w:rPr>
          <w:color w:val="202124"/>
          <w:sz w:val="20"/>
          <w:szCs w:val="20"/>
        </w:rPr>
      </w:pPr>
      <w:r>
        <w:rPr>
          <w:color w:val="202124"/>
          <w:sz w:val="20"/>
          <w:szCs w:val="20"/>
        </w:rPr>
        <w:tab/>
        <w:t>Art. 130.- La Asamblea Nacional podrá destituir a la Presidenta o Presidente de la República en los siguientes casos: 1. Por arrogarse funciones que no le competan constitucionalmente, previo dictamen favorable de la Corte Constitucional. 2. Por una grave crisis política y conmoción interna.</w:t>
      </w:r>
    </w:p>
    <w:p w:rsidR="00807CD2" w:rsidRDefault="00807CD2">
      <w:pPr>
        <w:spacing w:line="240" w:lineRule="auto"/>
        <w:ind w:left="720"/>
        <w:jc w:val="both"/>
        <w:rPr>
          <w:color w:val="202124"/>
          <w:sz w:val="20"/>
          <w:szCs w:val="20"/>
        </w:rPr>
      </w:pPr>
      <w:r>
        <w:rPr>
          <w:color w:val="202124"/>
          <w:sz w:val="20"/>
          <w:szCs w:val="20"/>
        </w:rPr>
        <w:tab/>
        <w:t>En un plazo de setenta y dos horas, concluido el procedimiento establecido en la ley, la Asamblea Nacional resolverá motivadamente con base en las pruebas de descargo presentadas por la Presidenta o Presidente de la República.</w:t>
      </w:r>
    </w:p>
    <w:p w:rsidR="00807CD2" w:rsidRDefault="00807CD2">
      <w:pPr>
        <w:spacing w:line="240" w:lineRule="auto"/>
        <w:ind w:left="720"/>
        <w:jc w:val="both"/>
        <w:rPr>
          <w:color w:val="202124"/>
          <w:sz w:val="20"/>
          <w:szCs w:val="20"/>
        </w:rPr>
      </w:pPr>
      <w:r>
        <w:rPr>
          <w:color w:val="202124"/>
          <w:sz w:val="20"/>
          <w:szCs w:val="20"/>
        </w:rPr>
        <w:tab/>
        <w:t>Para proceder a la destitución se requerirá el voto favorable de las dos terceras partes de los miembros de la Asamblea Nacional. De prosperar la destitución, la Vicepresidenta o Vicepresidente asumirá la Presidencia de la República. Esta facultad podrá ser ejercida por una sola vez durante el periodo legislativo, en los tres primeros años del mismo.</w:t>
      </w:r>
    </w:p>
    <w:p w:rsidR="00807CD2" w:rsidRDefault="00807CD2">
      <w:pPr>
        <w:spacing w:line="240" w:lineRule="auto"/>
        <w:ind w:left="720"/>
        <w:jc w:val="both"/>
        <w:rPr>
          <w:color w:val="202124"/>
          <w:sz w:val="20"/>
          <w:szCs w:val="20"/>
        </w:rPr>
      </w:pPr>
      <w:r>
        <w:rPr>
          <w:color w:val="202124"/>
          <w:sz w:val="20"/>
          <w:szCs w:val="20"/>
        </w:rPr>
        <w:tab/>
        <w:t>En un plazo máximo de siete días después de la publicación de la resolución de destitución, el Consejo Nacional Electoral convocará para una misma fecha a elecciones legislativas y presidenciales anticipadas para el resto de los respectivos períodos. La instalación de la Asamblea Nacional y la posesión de la Presidenta o Presidente electo tendrá lugar de acuerdo con lo previsto en la Constitución, en la fecha determinada por el Consejo Nacional Electoral.”</w:t>
      </w:r>
    </w:p>
    <w:p w:rsidR="00807CD2" w:rsidRDefault="00807CD2">
      <w:pPr>
        <w:spacing w:line="240" w:lineRule="auto"/>
        <w:ind w:left="720"/>
        <w:jc w:val="both"/>
      </w:pPr>
    </w:p>
  </w:footnote>
  <w:footnote w:id="14">
    <w:p w:rsidR="00807CD2" w:rsidRDefault="00807CD2">
      <w:pPr>
        <w:spacing w:line="240" w:lineRule="auto"/>
        <w:jc w:val="both"/>
      </w:pPr>
      <w:r>
        <w:rPr>
          <w:rStyle w:val="Caracteresdenotaalpie"/>
        </w:rPr>
        <w:footnoteRef/>
      </w:r>
      <w:r>
        <w:rPr>
          <w:vertAlign w:val="superscript"/>
        </w:rPr>
        <w:tab/>
      </w:r>
      <w:r>
        <w:rPr>
          <w:sz w:val="20"/>
          <w:szCs w:val="20"/>
        </w:rPr>
        <w:t xml:space="preserve"> Corte Constitucional, Dictamen Nro. </w:t>
      </w:r>
      <w:r>
        <w:rPr>
          <w:color w:val="333333"/>
          <w:sz w:val="20"/>
          <w:szCs w:val="20"/>
          <w:highlight w:val="white"/>
        </w:rPr>
        <w:t>003-16-DCP-CC, Quito, Ecuador, 15 de noviembre de 2016, pág. 17</w:t>
      </w:r>
    </w:p>
  </w:footnote>
  <w:footnote w:id="15">
    <w:p w:rsidR="00807CD2" w:rsidRDefault="00807CD2">
      <w:pPr>
        <w:spacing w:line="240" w:lineRule="auto"/>
        <w:jc w:val="both"/>
      </w:pPr>
      <w:r>
        <w:rPr>
          <w:rStyle w:val="Caracteresdenotaalpie"/>
        </w:rPr>
        <w:footnoteRef/>
      </w:r>
      <w:r>
        <w:rPr>
          <w:vertAlign w:val="superscript"/>
        </w:rPr>
        <w:tab/>
      </w:r>
      <w:r>
        <w:rPr>
          <w:sz w:val="20"/>
          <w:szCs w:val="20"/>
        </w:rPr>
        <w:t xml:space="preserve"> MARSHALL Barberán Pablo, “La soberanía popular como fundamento del orden estatal y como principio constitucional”, Universidad Austral de Chile, Revista de Derecho, Diciembre 2020, https://www.scielo.cl/scielo.php?script=sci_arttext&amp;pid=S0718-68512010000200008</w:t>
      </w:r>
    </w:p>
  </w:footnote>
  <w:footnote w:id="16">
    <w:p w:rsidR="00807CD2" w:rsidRDefault="00807CD2">
      <w:pPr>
        <w:spacing w:line="240" w:lineRule="auto"/>
        <w:jc w:val="both"/>
      </w:pPr>
      <w:r>
        <w:rPr>
          <w:rStyle w:val="Caracteresdenotaalpie"/>
        </w:rPr>
        <w:footnoteRef/>
      </w:r>
      <w:r>
        <w:rPr>
          <w:vertAlign w:val="superscript"/>
        </w:rPr>
        <w:tab/>
      </w:r>
      <w:r>
        <w:rPr>
          <w:sz w:val="20"/>
          <w:szCs w:val="20"/>
          <w:vertAlign w:val="superscript"/>
        </w:rPr>
        <w:t xml:space="preserve"> </w:t>
      </w:r>
      <w:r>
        <w:rPr>
          <w:sz w:val="20"/>
          <w:szCs w:val="20"/>
        </w:rPr>
        <w:t>Casero, A. (2015). La crisis política como fenómeno comunicativo: la emergencia del “caso crítico''. Recuperado el 01 de julio de 2020, de https://www.redalyc.org/pdf/297/29700611.pdf.</w:t>
      </w:r>
    </w:p>
  </w:footnote>
  <w:footnote w:id="17">
    <w:p w:rsidR="00807CD2" w:rsidRDefault="00807CD2">
      <w:pPr>
        <w:spacing w:line="240" w:lineRule="auto"/>
      </w:pPr>
      <w:r>
        <w:rPr>
          <w:rStyle w:val="Caracteresdenotaalpie"/>
        </w:rPr>
        <w:footnoteRef/>
      </w:r>
      <w:r>
        <w:rPr>
          <w:vertAlign w:val="superscript"/>
        </w:rPr>
        <w:tab/>
      </w:r>
      <w:r>
        <w:rPr>
          <w:sz w:val="20"/>
          <w:szCs w:val="20"/>
          <w:vertAlign w:val="superscript"/>
        </w:rPr>
        <w:t xml:space="preserve"> </w:t>
      </w:r>
      <w:r>
        <w:rPr>
          <w:sz w:val="20"/>
          <w:szCs w:val="20"/>
        </w:rPr>
        <w:t>Dictamen N° 3-19-EE/19 (Corte Constitucional del Ecuador 09 de julio de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07CD2" w:rsidRDefault="001A2FF9">
    <w:pPr>
      <w:pStyle w:val="Encabezado"/>
    </w:pPr>
    <w:r>
      <w:rPr>
        <w:noProof/>
      </w:rPr>
    </w:r>
    <w:r w:rsidR="001A2FF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907047" o:spid="_x0000_s1043" type="#_x0000_t136" style="position:absolute;margin-left:0;margin-top:0;width:404.85pt;height:40.45pt;rotation:315;z-index:-251656192;mso-wrap-edited:f;mso-position-horizontal:center;mso-position-horizontal-relative:margin;mso-position-vertical:center;mso-position-vertical-relative:margin" o:allowincell="f" fillcolor="#f79646" stroked="f">
          <v:fill opacity=".5"/>
          <v:textpath style="font-family:&quot;Arial&quot;;font-size:1pt" string="BORRADOR INFORM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07CD2" w:rsidRDefault="001A2FF9">
    <w:pPr>
      <w:pStyle w:val="Encabezado"/>
    </w:pPr>
    <w:r>
      <w:rPr>
        <w:noProof/>
      </w:rPr>
      <w:drawing>
        <wp:anchor distT="0" distB="0" distL="0" distR="0" simplePos="0" relativeHeight="251662336" behindDoc="1" locked="0" layoutInCell="1" allowOverlap="1">
          <wp:simplePos x="0" y="0"/>
          <wp:positionH relativeFrom="column">
            <wp:posOffset>-914400</wp:posOffset>
          </wp:positionH>
          <wp:positionV relativeFrom="paragraph">
            <wp:posOffset>-142875</wp:posOffset>
          </wp:positionV>
          <wp:extent cx="7560310" cy="1303655"/>
          <wp:effectExtent l="0" t="0" r="0" b="0"/>
          <wp:wrapSquare wrapText="largest"/>
          <wp:docPr id="3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303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r>
    <w:r w:rsidR="001A2FF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907048" o:spid="_x0000_s1041" type="#_x0000_t136" style="position:absolute;margin-left:0;margin-top:0;width:404.85pt;height:40.45pt;rotation:315;z-index:-251655168;mso-wrap-edited:f;mso-position-horizontal:center;mso-position-horizontal-relative:margin;mso-position-vertical:center;mso-position-vertical-relative:margin" o:allowincell="f" fillcolor="#f79646" stroked="f">
          <v:fill opacity=".5"/>
          <v:textpath style="font-family:&quot;Arial&quot;;font-size:1pt" string="BORRADOR INFORM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07CD2" w:rsidRDefault="001A2FF9">
    <w:pPr>
      <w:pStyle w:val="Encabezado"/>
    </w:pPr>
    <w:r>
      <w:rPr>
        <w:noProof/>
      </w:rPr>
    </w:r>
    <w:r w:rsidR="001A2FF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907046" o:spid="_x0000_s1040" type="#_x0000_t136" style="position:absolute;margin-left:0;margin-top:0;width:404.85pt;height:40.45pt;rotation:315;z-index:-251657216;mso-wrap-edited:f;mso-position-horizontal:center;mso-position-horizontal-relative:margin;mso-position-vertical:center;mso-position-vertical-relative:margin" o:allowincell="f" fillcolor="#f79646" stroked="f">
          <v:fill opacity=".5"/>
          <v:textpath style="font-family:&quot;Arial&quot;;font-size:1pt" string="BORRADOR INFORM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07CD2" w:rsidRDefault="001A2FF9">
    <w:pPr>
      <w:pStyle w:val="Encabezado"/>
    </w:pPr>
    <w:r>
      <w:rPr>
        <w:noProof/>
      </w:rPr>
    </w:r>
    <w:r w:rsidR="001A2FF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907050" o:spid="_x0000_s1039" type="#_x0000_t136" style="position:absolute;margin-left:0;margin-top:0;width:404.85pt;height:40.45pt;rotation:315;z-index:-251653120;mso-wrap-edited:f;mso-position-horizontal:center;mso-position-horizontal-relative:margin;mso-position-vertical:center;mso-position-vertical-relative:margin" o:allowincell="f" fillcolor="#f79646" stroked="f">
          <v:fill opacity=".5"/>
          <v:textpath style="font-family:&quot;Arial&quot;;font-size:1pt" string="BORRADOR INFORM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07CD2" w:rsidRDefault="001A2FF9">
    <w:pPr>
      <w:pStyle w:val="Encabezado"/>
    </w:pPr>
    <w:r>
      <w:rPr>
        <w:noProof/>
      </w:rPr>
    </w:r>
    <w:r w:rsidR="001A2FF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907051" o:spid="_x0000_s1038" type="#_x0000_t136" style="position:absolute;margin-left:0;margin-top:0;width:404.85pt;height:40.45pt;rotation:315;z-index:-251652096;mso-wrap-edited:f;mso-position-horizontal:center;mso-position-horizontal-relative:margin;mso-position-vertical:center;mso-position-vertical-relative:margin" o:allowincell="f" fillcolor="#f79646" stroked="f">
          <v:fill opacity=".5"/>
          <v:textpath style="font-family:&quot;Arial&quot;;font-size:1pt" string="BORRADOR INFORM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07CD2" w:rsidRDefault="001A2FF9">
    <w:pPr>
      <w:pStyle w:val="Encabezado"/>
    </w:pPr>
    <w:r>
      <w:rPr>
        <w:noProof/>
      </w:rPr>
    </w:r>
    <w:r w:rsidR="001A2FF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907049" o:spid="_x0000_s1037" type="#_x0000_t136" style="position:absolute;margin-left:0;margin-top:0;width:404.85pt;height:40.45pt;rotation:315;z-index:-251654144;mso-wrap-edited:f;mso-position-horizontal:center;mso-position-horizontal-relative:margin;mso-position-vertical:center;mso-position-vertical-relative:margin" o:allowincell="f" fillcolor="#f79646" stroked="f">
          <v:fill opacity=".5"/>
          <v:textpath style="font-family:&quot;Arial&quot;;font-size:1pt" string="BORRADOR INFORME"/>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07CD2" w:rsidRDefault="001A2FF9">
    <w:pPr>
      <w:pStyle w:val="Encabezado"/>
    </w:pPr>
    <w:r>
      <w:rPr>
        <w:noProof/>
      </w:rPr>
    </w:r>
    <w:r w:rsidR="001A2FF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907053" o:spid="_x0000_s1036" type="#_x0000_t136" style="position:absolute;margin-left:0;margin-top:0;width:404.85pt;height:40.45pt;rotation:315;z-index:-251650048;mso-wrap-edited:f;mso-position-horizontal:center;mso-position-horizontal-relative:margin;mso-position-vertical:center;mso-position-vertical-relative:margin" o:allowincell="f" fillcolor="#f79646" stroked="f">
          <v:fill opacity=".5"/>
          <v:textpath style="font-family:&quot;Arial&quot;;font-size:1pt" string="BORRADOR INFORM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07CD2" w:rsidRDefault="001A2FF9">
    <w:pPr>
      <w:pStyle w:val="Encabezado"/>
    </w:pPr>
    <w:r>
      <w:rPr>
        <w:noProof/>
      </w:rPr>
    </w:r>
    <w:r w:rsidR="001A2FF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907054" o:spid="_x0000_s1035" type="#_x0000_t136" style="position:absolute;margin-left:0;margin-top:0;width:404.85pt;height:40.45pt;rotation:315;z-index:-251649024;mso-wrap-edited:f;mso-position-horizontal:center;mso-position-horizontal-relative:margin;mso-position-vertical:center;mso-position-vertical-relative:margin" o:allowincell="f" fillcolor="#f79646" stroked="f">
          <v:fill opacity=".5"/>
          <v:textpath style="font-family:&quot;Arial&quot;;font-size:1pt" string="BORRADOR INFORME"/>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07CD2" w:rsidRDefault="001A2FF9">
    <w:pPr>
      <w:pStyle w:val="Encabezado"/>
    </w:pPr>
    <w:r>
      <w:rPr>
        <w:noProof/>
      </w:rPr>
    </w:r>
    <w:r w:rsidR="001A2FF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907052" o:spid="_x0000_s1034" type="#_x0000_t136" style="position:absolute;margin-left:0;margin-top:0;width:404.85pt;height:40.45pt;rotation:315;z-index:-251651072;mso-wrap-edited:f;mso-position-horizontal:center;mso-position-horizontal-relative:margin;mso-position-vertical:center;mso-position-vertical-relative:margin" o:allowincell="f" fillcolor="#f79646" stroked="f">
          <v:fill opacity=".5"/>
          <v:textpath style="font-family:&quot;Arial&quot;;font-size:1pt" string="BORRADOR INFORM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F0EA6"/>
    <w:multiLevelType w:val="hybridMultilevel"/>
    <w:tmpl w:val="23E0A8EE"/>
    <w:lvl w:ilvl="0" w:tplc="E6725F86">
      <w:start w:val="10"/>
      <w:numFmt w:val="decimal"/>
      <w:lvlText w:val="%1."/>
      <w:lvlJc w:val="left"/>
      <w:pPr>
        <w:ind w:left="720" w:hanging="360"/>
      </w:pPr>
      <w:rPr>
        <w:rFonts w:cs="Calibri"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B196310"/>
    <w:multiLevelType w:val="multilevel"/>
    <w:tmpl w:val="4A58A59A"/>
    <w:lvl w:ilvl="0">
      <w:start w:val="1"/>
      <w:numFmt w:val="decimal"/>
      <w:lvlText w:val="%1."/>
      <w:lvlJc w:val="left"/>
      <w:pPr>
        <w:ind w:left="720" w:hanging="360"/>
      </w:pPr>
      <w:rPr>
        <w:u w:val="none"/>
      </w:rPr>
    </w:lvl>
    <w:lvl w:ilvl="1">
      <w:start w:val="1"/>
      <w:numFmt w:val="decimal"/>
      <w:lvlText w:val="%2."/>
      <w:lvlJc w:val="left"/>
      <w:pPr>
        <w:ind w:left="1440" w:hanging="360"/>
      </w:pPr>
      <w:rPr>
        <w:rFonts w:ascii="Times New Roman" w:hAnsi="Times New Roman"/>
        <w:sz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DED61B6"/>
    <w:multiLevelType w:val="hybridMultilevel"/>
    <w:tmpl w:val="968877D6"/>
    <w:lvl w:ilvl="0" w:tplc="781670F2">
      <w:start w:val="8"/>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11150FEE"/>
    <w:multiLevelType w:val="multilevel"/>
    <w:tmpl w:val="9DD699F0"/>
    <w:lvl w:ilvl="0">
      <w:start w:val="10"/>
      <w:numFmt w:val="decimal"/>
      <w:lvlText w:val="%1."/>
      <w:lvlJc w:val="left"/>
      <w:pPr>
        <w:ind w:left="720" w:hanging="720"/>
      </w:pPr>
    </w:lvl>
    <w:lvl w:ilvl="1">
      <w:start w:val="2"/>
      <w:numFmt w:val="decimal"/>
      <w:lvlText w:val="%1.%2."/>
      <w:lvlJc w:val="left"/>
      <w:pPr>
        <w:ind w:left="720" w:hanging="720"/>
      </w:pPr>
    </w:lvl>
    <w:lvl w:ilvl="2">
      <w:start w:val="5"/>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15:restartNumberingAfterBreak="0">
    <w:nsid w:val="14FC2EE7"/>
    <w:multiLevelType w:val="hybridMultilevel"/>
    <w:tmpl w:val="3F3A10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17A0174E"/>
    <w:multiLevelType w:val="multilevel"/>
    <w:tmpl w:val="87600D6A"/>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 w15:restartNumberingAfterBreak="0">
    <w:nsid w:val="1FE36FAC"/>
    <w:multiLevelType w:val="multilevel"/>
    <w:tmpl w:val="DCE8617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225F5EAB"/>
    <w:multiLevelType w:val="multilevel"/>
    <w:tmpl w:val="3A9AB93A"/>
    <w:lvl w:ilvl="0">
      <w:start w:val="2"/>
      <w:numFmt w:val="decimal"/>
      <w:lvlText w:val="%1."/>
      <w:lvlJc w:val="left"/>
      <w:pPr>
        <w:ind w:left="720" w:hanging="360"/>
      </w:pPr>
      <w:rPr>
        <w:rFonts w:ascii="Times New Roman" w:hAnsi="Times New Roman"/>
        <w:sz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228D398B"/>
    <w:multiLevelType w:val="multilevel"/>
    <w:tmpl w:val="B8007FBA"/>
    <w:lvl w:ilvl="0">
      <w:start w:val="1"/>
      <w:numFmt w:val="decimal"/>
      <w:lvlText w:val="%1."/>
      <w:lvlJc w:val="left"/>
      <w:pPr>
        <w:ind w:left="720" w:hanging="360"/>
      </w:pPr>
      <w:rPr>
        <w:rFonts w:ascii="Times New Roman" w:hAnsi="Times New Roman"/>
        <w:sz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558647C"/>
    <w:multiLevelType w:val="multilevel"/>
    <w:tmpl w:val="863C0D66"/>
    <w:lvl w:ilvl="0">
      <w:start w:val="1"/>
      <w:numFmt w:val="decimal"/>
      <w:lvlText w:val="%1."/>
      <w:lvlJc w:val="left"/>
      <w:pPr>
        <w:ind w:left="720" w:hanging="360"/>
      </w:pPr>
      <w:rPr>
        <w:rFonts w:ascii="Times New Roman" w:hAnsi="Times New Roman"/>
        <w:sz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29E57610"/>
    <w:multiLevelType w:val="multilevel"/>
    <w:tmpl w:val="40A43E4E"/>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BA7526B"/>
    <w:multiLevelType w:val="multilevel"/>
    <w:tmpl w:val="292CC74C"/>
    <w:lvl w:ilvl="0">
      <w:start w:val="1"/>
      <w:numFmt w:val="lowerLetter"/>
      <w:lvlText w:val="%1)"/>
      <w:lvlJc w:val="left"/>
      <w:pPr>
        <w:ind w:left="720" w:hanging="360"/>
      </w:pPr>
      <w:rPr>
        <w:rFonts w:ascii="Times New Roman" w:hAnsi="Times New Roman"/>
        <w:sz w:val="24"/>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30207C0C"/>
    <w:multiLevelType w:val="multilevel"/>
    <w:tmpl w:val="489290F8"/>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3" w15:restartNumberingAfterBreak="0">
    <w:nsid w:val="344B5904"/>
    <w:multiLevelType w:val="multilevel"/>
    <w:tmpl w:val="877C0DC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4" w15:restartNumberingAfterBreak="0">
    <w:nsid w:val="35140C13"/>
    <w:multiLevelType w:val="multilevel"/>
    <w:tmpl w:val="B6DA538A"/>
    <w:lvl w:ilvl="0">
      <w:start w:val="2"/>
      <w:numFmt w:val="decimal"/>
      <w:lvlText w:val="%1."/>
      <w:lvlJc w:val="left"/>
      <w:pPr>
        <w:ind w:left="720" w:hanging="360"/>
      </w:pPr>
      <w:rPr>
        <w:rFonts w:ascii="Times New Roman" w:hAnsi="Times New Roman"/>
        <w:sz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385145E6"/>
    <w:multiLevelType w:val="multilevel"/>
    <w:tmpl w:val="AE7EA0D2"/>
    <w:lvl w:ilvl="0">
      <w:start w:val="1"/>
      <w:numFmt w:val="lowerLetter"/>
      <w:lvlText w:val="%1)"/>
      <w:lvlJc w:val="left"/>
      <w:pPr>
        <w:ind w:left="1080" w:hanging="360"/>
      </w:pPr>
      <w:rPr>
        <w:sz w:val="24"/>
        <w:u w:val="none"/>
      </w:rPr>
    </w:lvl>
    <w:lvl w:ilvl="1">
      <w:start w:val="1"/>
      <w:numFmt w:val="lowerLetter"/>
      <w:lvlText w:val="%2."/>
      <w:lvlJc w:val="left"/>
      <w:pPr>
        <w:ind w:left="1800" w:hanging="360"/>
      </w:pPr>
      <w:rPr>
        <w:u w:val="none"/>
      </w:rPr>
    </w:lvl>
    <w:lvl w:ilvl="2">
      <w:start w:val="1"/>
      <w:numFmt w:val="lowerRoman"/>
      <w:lvlText w:val="%3."/>
      <w:lvlJc w:val="lef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lef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left"/>
      <w:pPr>
        <w:ind w:left="6840" w:hanging="360"/>
      </w:pPr>
      <w:rPr>
        <w:u w:val="none"/>
      </w:rPr>
    </w:lvl>
  </w:abstractNum>
  <w:abstractNum w:abstractNumId="16" w15:restartNumberingAfterBreak="0">
    <w:nsid w:val="3AC84370"/>
    <w:multiLevelType w:val="multilevel"/>
    <w:tmpl w:val="E12E38D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3B7B2019"/>
    <w:multiLevelType w:val="hybridMultilevel"/>
    <w:tmpl w:val="5260A752"/>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3B8F1C32"/>
    <w:multiLevelType w:val="multilevel"/>
    <w:tmpl w:val="DF1A7F3E"/>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3E2022E2"/>
    <w:multiLevelType w:val="multilevel"/>
    <w:tmpl w:val="BFD27356"/>
    <w:lvl w:ilvl="0">
      <w:start w:val="1"/>
      <w:numFmt w:val="decimal"/>
      <w:lvlText w:val="%1."/>
      <w:lvlJc w:val="left"/>
      <w:pPr>
        <w:ind w:left="720" w:hanging="360"/>
      </w:pPr>
      <w:rPr>
        <w:rFonts w:ascii="Times New Roman" w:hAnsi="Times New Roman"/>
        <w:b/>
        <w:sz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0EB26A3"/>
    <w:multiLevelType w:val="multilevel"/>
    <w:tmpl w:val="E62A7BF4"/>
    <w:lvl w:ilvl="0">
      <w:start w:val="1"/>
      <w:numFmt w:val="bullet"/>
      <w:lvlText w:val="-"/>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413A1272"/>
    <w:multiLevelType w:val="multilevel"/>
    <w:tmpl w:val="8A1613E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18B3C8B"/>
    <w:multiLevelType w:val="multilevel"/>
    <w:tmpl w:val="C7B036FC"/>
    <w:lvl w:ilvl="0">
      <w:start w:val="4"/>
      <w:numFmt w:val="decimal"/>
      <w:lvlText w:val="%1."/>
      <w:lvlJc w:val="left"/>
      <w:pPr>
        <w:ind w:left="720" w:hanging="360"/>
      </w:pPr>
      <w:rPr>
        <w:rFonts w:ascii="Times New Roman" w:hAnsi="Times New Roman"/>
        <w:sz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426D032A"/>
    <w:multiLevelType w:val="multilevel"/>
    <w:tmpl w:val="CD780CE0"/>
    <w:lvl w:ilvl="0">
      <w:start w:val="1"/>
      <w:numFmt w:val="decimal"/>
      <w:lvlText w:val="%1."/>
      <w:lvlJc w:val="left"/>
      <w:pPr>
        <w:ind w:left="360" w:hanging="360"/>
      </w:pPr>
      <w:rPr>
        <w:i w:val="0"/>
        <w:iCs w:val="0"/>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4" w15:restartNumberingAfterBreak="0">
    <w:nsid w:val="4BB643B7"/>
    <w:multiLevelType w:val="multilevel"/>
    <w:tmpl w:val="FD788C5A"/>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25" w15:restartNumberingAfterBreak="0">
    <w:nsid w:val="4DAC066B"/>
    <w:multiLevelType w:val="multilevel"/>
    <w:tmpl w:val="D20465B6"/>
    <w:lvl w:ilvl="0">
      <w:start w:val="2"/>
      <w:numFmt w:val="decimal"/>
      <w:lvlText w:val="%1."/>
      <w:lvlJc w:val="left"/>
      <w:pPr>
        <w:ind w:left="720" w:hanging="360"/>
      </w:pPr>
      <w:rPr>
        <w:rFonts w:ascii="Times New Roman" w:hAnsi="Times New Roman"/>
        <w:sz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4F3E54DB"/>
    <w:multiLevelType w:val="multilevel"/>
    <w:tmpl w:val="2C62F3E6"/>
    <w:lvl w:ilvl="0">
      <w:start w:val="1"/>
      <w:numFmt w:val="decimal"/>
      <w:lvlText w:val="%1."/>
      <w:lvlJc w:val="left"/>
      <w:pPr>
        <w:ind w:left="720" w:hanging="360"/>
      </w:pPr>
      <w:rPr>
        <w:rFonts w:ascii="Times New Roman" w:hAnsi="Times New Roman"/>
        <w:sz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57BC031E"/>
    <w:multiLevelType w:val="multilevel"/>
    <w:tmpl w:val="9C2024E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28" w15:restartNumberingAfterBreak="0">
    <w:nsid w:val="580B7728"/>
    <w:multiLevelType w:val="multilevel"/>
    <w:tmpl w:val="34B68858"/>
    <w:lvl w:ilvl="0">
      <w:start w:val="1"/>
      <w:numFmt w:val="bullet"/>
      <w:lvlText w:val="-"/>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588B1F25"/>
    <w:multiLevelType w:val="multilevel"/>
    <w:tmpl w:val="EE8649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A442283"/>
    <w:multiLevelType w:val="multilevel"/>
    <w:tmpl w:val="9D3467D0"/>
    <w:lvl w:ilvl="0">
      <w:start w:val="4"/>
      <w:numFmt w:val="decimal"/>
      <w:lvlText w:val="%1"/>
      <w:lvlJc w:val="left"/>
      <w:pPr>
        <w:ind w:left="360" w:hanging="360"/>
      </w:pPr>
      <w:rPr>
        <w:rFonts w:hint="default"/>
        <w:b/>
        <w:i/>
        <w:iCs/>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1" w15:restartNumberingAfterBreak="0">
    <w:nsid w:val="5BCC5E0D"/>
    <w:multiLevelType w:val="multilevel"/>
    <w:tmpl w:val="D8A24814"/>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32" w15:restartNumberingAfterBreak="0">
    <w:nsid w:val="5C697161"/>
    <w:multiLevelType w:val="multilevel"/>
    <w:tmpl w:val="E75AF892"/>
    <w:lvl w:ilvl="0">
      <w:start w:val="1"/>
      <w:numFmt w:val="bullet"/>
      <w:lvlText w:val=""/>
      <w:lvlJc w:val="left"/>
      <w:pPr>
        <w:ind w:left="720" w:hanging="360"/>
      </w:pPr>
      <w:rPr>
        <w:rFonts w:ascii="Wingdings" w:hAnsi="Wingdings" w:cs="Wingdings" w:hint="default"/>
        <w:sz w:val="18"/>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33" w15:restartNumberingAfterBreak="0">
    <w:nsid w:val="601A1F2C"/>
    <w:multiLevelType w:val="multilevel"/>
    <w:tmpl w:val="1708D18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0AD20D6"/>
    <w:multiLevelType w:val="multilevel"/>
    <w:tmpl w:val="EA10F990"/>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35" w15:restartNumberingAfterBreak="0">
    <w:nsid w:val="61333D3C"/>
    <w:multiLevelType w:val="hybridMultilevel"/>
    <w:tmpl w:val="CF28D068"/>
    <w:lvl w:ilvl="0" w:tplc="30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B057ED5"/>
    <w:multiLevelType w:val="multilevel"/>
    <w:tmpl w:val="F17A6EF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6B864547"/>
    <w:multiLevelType w:val="hybridMultilevel"/>
    <w:tmpl w:val="0492AB58"/>
    <w:styleLink w:val="Nmero"/>
    <w:lvl w:ilvl="0" w:tplc="DA48B9E8">
      <w:start w:val="1"/>
      <w:numFmt w:val="decimal"/>
      <w:lvlText w:val="%1."/>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D2C85C">
      <w:start w:val="1"/>
      <w:numFmt w:val="decimal"/>
      <w:lvlText w:val="%2."/>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10BB20">
      <w:start w:val="1"/>
      <w:numFmt w:val="decimal"/>
      <w:lvlText w:val="%3."/>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F22A2C">
      <w:start w:val="1"/>
      <w:numFmt w:val="decimal"/>
      <w:lvlText w:val="%4."/>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0AEA0A0">
      <w:start w:val="1"/>
      <w:numFmt w:val="decimal"/>
      <w:lvlText w:val="%5."/>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84052FC">
      <w:start w:val="1"/>
      <w:numFmt w:val="decimal"/>
      <w:lvlText w:val="%6."/>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9CE1212">
      <w:start w:val="1"/>
      <w:numFmt w:val="decimal"/>
      <w:lvlText w:val="%7."/>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BC6F6FE">
      <w:start w:val="1"/>
      <w:numFmt w:val="decimal"/>
      <w:lvlText w:val="%8."/>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17851E6">
      <w:start w:val="1"/>
      <w:numFmt w:val="decimal"/>
      <w:lvlText w:val="%9."/>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6BDC37B6"/>
    <w:multiLevelType w:val="multilevel"/>
    <w:tmpl w:val="E15E859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F531E37"/>
    <w:multiLevelType w:val="multilevel"/>
    <w:tmpl w:val="9A1E17E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40" w15:restartNumberingAfterBreak="0">
    <w:nsid w:val="6F961060"/>
    <w:multiLevelType w:val="multilevel"/>
    <w:tmpl w:val="CD10940A"/>
    <w:lvl w:ilvl="0">
      <w:start w:val="1"/>
      <w:numFmt w:val="bullet"/>
      <w:lvlText w:val=""/>
      <w:lvlJc w:val="left"/>
      <w:pPr>
        <w:ind w:left="1854" w:hanging="360"/>
      </w:pPr>
      <w:rPr>
        <w:rFonts w:ascii="Symbol" w:hAnsi="Symbol" w:cs="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cs="Wingdings" w:hint="default"/>
      </w:rPr>
    </w:lvl>
  </w:abstractNum>
  <w:abstractNum w:abstractNumId="41" w15:restartNumberingAfterBreak="0">
    <w:nsid w:val="726D22A0"/>
    <w:multiLevelType w:val="multilevel"/>
    <w:tmpl w:val="07C0B63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42" w15:restartNumberingAfterBreak="0">
    <w:nsid w:val="748C72B9"/>
    <w:multiLevelType w:val="multilevel"/>
    <w:tmpl w:val="CD7EE0B8"/>
    <w:lvl w:ilvl="0">
      <w:start w:val="3"/>
      <w:numFmt w:val="decimal"/>
      <w:lvlText w:val="%1."/>
      <w:lvlJc w:val="left"/>
      <w:pPr>
        <w:ind w:left="720" w:hanging="360"/>
      </w:pPr>
      <w:rPr>
        <w:rFonts w:ascii="Times New Roman" w:hAnsi="Times New Roman"/>
        <w:sz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15:restartNumberingAfterBreak="0">
    <w:nsid w:val="76F30ED5"/>
    <w:multiLevelType w:val="hybridMultilevel"/>
    <w:tmpl w:val="41ACB7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15:restartNumberingAfterBreak="0">
    <w:nsid w:val="780A7B17"/>
    <w:multiLevelType w:val="multilevel"/>
    <w:tmpl w:val="FF7E13D4"/>
    <w:lvl w:ilvl="0">
      <w:start w:val="1"/>
      <w:numFmt w:val="decimal"/>
      <w:lvlText w:val="%1."/>
      <w:lvlJc w:val="left"/>
      <w:pPr>
        <w:ind w:left="720" w:hanging="360"/>
      </w:pPr>
      <w:rPr>
        <w:rFonts w:ascii="Times New Roman" w:hAnsi="Times New Roman"/>
        <w:sz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5" w15:restartNumberingAfterBreak="0">
    <w:nsid w:val="7A6F501D"/>
    <w:multiLevelType w:val="multilevel"/>
    <w:tmpl w:val="6F3CBEA0"/>
    <w:lvl w:ilvl="0">
      <w:start w:val="10"/>
      <w:numFmt w:val="decimal"/>
      <w:lvlText w:val="%1"/>
      <w:lvlJc w:val="left"/>
      <w:pPr>
        <w:ind w:left="660" w:hanging="660"/>
      </w:pPr>
    </w:lvl>
    <w:lvl w:ilvl="1">
      <w:start w:val="2"/>
      <w:numFmt w:val="decimal"/>
      <w:lvlText w:val="%1.%2"/>
      <w:lvlJc w:val="left"/>
      <w:pPr>
        <w:ind w:left="660" w:hanging="660"/>
      </w:pPr>
    </w:lvl>
    <w:lvl w:ilvl="2">
      <w:start w:val="6"/>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6" w15:restartNumberingAfterBreak="0">
    <w:nsid w:val="7A9C0273"/>
    <w:multiLevelType w:val="hybridMultilevel"/>
    <w:tmpl w:val="0492AB58"/>
    <w:numStyleLink w:val="Nmero"/>
  </w:abstractNum>
  <w:abstractNum w:abstractNumId="47" w15:restartNumberingAfterBreak="0">
    <w:nsid w:val="7E35183E"/>
    <w:multiLevelType w:val="multilevel"/>
    <w:tmpl w:val="50B471FA"/>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num w:numId="1">
    <w:abstractNumId w:val="19"/>
  </w:num>
  <w:num w:numId="2">
    <w:abstractNumId w:val="7"/>
  </w:num>
  <w:num w:numId="3">
    <w:abstractNumId w:val="11"/>
  </w:num>
  <w:num w:numId="4">
    <w:abstractNumId w:val="8"/>
  </w:num>
  <w:num w:numId="5">
    <w:abstractNumId w:val="26"/>
  </w:num>
  <w:num w:numId="6">
    <w:abstractNumId w:val="12"/>
  </w:num>
  <w:num w:numId="7">
    <w:abstractNumId w:val="47"/>
  </w:num>
  <w:num w:numId="8">
    <w:abstractNumId w:val="44"/>
  </w:num>
  <w:num w:numId="9">
    <w:abstractNumId w:val="1"/>
  </w:num>
  <w:num w:numId="10">
    <w:abstractNumId w:val="22"/>
  </w:num>
  <w:num w:numId="11">
    <w:abstractNumId w:val="42"/>
  </w:num>
  <w:num w:numId="12">
    <w:abstractNumId w:val="32"/>
  </w:num>
  <w:num w:numId="13">
    <w:abstractNumId w:val="34"/>
  </w:num>
  <w:num w:numId="14">
    <w:abstractNumId w:val="25"/>
  </w:num>
  <w:num w:numId="15">
    <w:abstractNumId w:val="23"/>
  </w:num>
  <w:num w:numId="16">
    <w:abstractNumId w:val="9"/>
  </w:num>
  <w:num w:numId="17">
    <w:abstractNumId w:val="14"/>
  </w:num>
  <w:num w:numId="18">
    <w:abstractNumId w:val="5"/>
  </w:num>
  <w:num w:numId="19">
    <w:abstractNumId w:val="3"/>
  </w:num>
  <w:num w:numId="20">
    <w:abstractNumId w:val="45"/>
  </w:num>
  <w:num w:numId="21">
    <w:abstractNumId w:val="29"/>
  </w:num>
  <w:num w:numId="22">
    <w:abstractNumId w:val="33"/>
  </w:num>
  <w:num w:numId="23">
    <w:abstractNumId w:val="21"/>
  </w:num>
  <w:num w:numId="24">
    <w:abstractNumId w:val="36"/>
  </w:num>
  <w:num w:numId="25">
    <w:abstractNumId w:val="16"/>
  </w:num>
  <w:num w:numId="26">
    <w:abstractNumId w:val="20"/>
  </w:num>
  <w:num w:numId="27">
    <w:abstractNumId w:val="27"/>
  </w:num>
  <w:num w:numId="28">
    <w:abstractNumId w:val="13"/>
  </w:num>
  <w:num w:numId="29">
    <w:abstractNumId w:val="31"/>
  </w:num>
  <w:num w:numId="30">
    <w:abstractNumId w:val="18"/>
  </w:num>
  <w:num w:numId="31">
    <w:abstractNumId w:val="41"/>
  </w:num>
  <w:num w:numId="32">
    <w:abstractNumId w:val="39"/>
  </w:num>
  <w:num w:numId="33">
    <w:abstractNumId w:val="24"/>
  </w:num>
  <w:num w:numId="34">
    <w:abstractNumId w:val="38"/>
  </w:num>
  <w:num w:numId="35">
    <w:abstractNumId w:val="40"/>
  </w:num>
  <w:num w:numId="36">
    <w:abstractNumId w:val="28"/>
  </w:num>
  <w:num w:numId="37">
    <w:abstractNumId w:val="6"/>
  </w:num>
  <w:num w:numId="38">
    <w:abstractNumId w:val="30"/>
  </w:num>
  <w:num w:numId="39">
    <w:abstractNumId w:val="43"/>
  </w:num>
  <w:num w:numId="40">
    <w:abstractNumId w:val="10"/>
  </w:num>
  <w:num w:numId="41">
    <w:abstractNumId w:val="2"/>
  </w:num>
  <w:num w:numId="42">
    <w:abstractNumId w:val="0"/>
  </w:num>
  <w:num w:numId="43">
    <w:abstractNumId w:val="4"/>
  </w:num>
  <w:num w:numId="44">
    <w:abstractNumId w:val="35"/>
  </w:num>
  <w:num w:numId="45">
    <w:abstractNumId w:val="17"/>
  </w:num>
  <w:num w:numId="46">
    <w:abstractNumId w:val="15"/>
  </w:num>
  <w:num w:numId="47">
    <w:abstractNumId w:val="37"/>
  </w:num>
  <w:num w:numId="48">
    <w:abstractNumId w:val="46"/>
  </w:num>
  <w:num w:numId="49">
    <w:abstractNumId w:val="4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revisionView w:inkAnnotations="0"/>
  <w:defaultTabStop w:val="720"/>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D59"/>
    <w:rsid w:val="00007C30"/>
    <w:rsid w:val="00040F9C"/>
    <w:rsid w:val="00063E4C"/>
    <w:rsid w:val="000C26D2"/>
    <w:rsid w:val="000C5414"/>
    <w:rsid w:val="000E2E30"/>
    <w:rsid w:val="000F6567"/>
    <w:rsid w:val="00102B92"/>
    <w:rsid w:val="00125772"/>
    <w:rsid w:val="00131893"/>
    <w:rsid w:val="00151567"/>
    <w:rsid w:val="00162FBA"/>
    <w:rsid w:val="00187432"/>
    <w:rsid w:val="001A2FF9"/>
    <w:rsid w:val="001B577F"/>
    <w:rsid w:val="001D4E9F"/>
    <w:rsid w:val="001E3811"/>
    <w:rsid w:val="001F07A3"/>
    <w:rsid w:val="00201A92"/>
    <w:rsid w:val="00217C56"/>
    <w:rsid w:val="0022364C"/>
    <w:rsid w:val="00232DED"/>
    <w:rsid w:val="0024568C"/>
    <w:rsid w:val="00245F16"/>
    <w:rsid w:val="002525AC"/>
    <w:rsid w:val="00252F4E"/>
    <w:rsid w:val="002639B5"/>
    <w:rsid w:val="00264853"/>
    <w:rsid w:val="0027048F"/>
    <w:rsid w:val="00270F4A"/>
    <w:rsid w:val="0029216E"/>
    <w:rsid w:val="002B23C3"/>
    <w:rsid w:val="002C236D"/>
    <w:rsid w:val="002D5000"/>
    <w:rsid w:val="002E22FD"/>
    <w:rsid w:val="002E7BE5"/>
    <w:rsid w:val="002E7DFE"/>
    <w:rsid w:val="0030242D"/>
    <w:rsid w:val="00303A2B"/>
    <w:rsid w:val="00323AB1"/>
    <w:rsid w:val="0037380D"/>
    <w:rsid w:val="003D0A28"/>
    <w:rsid w:val="003D5750"/>
    <w:rsid w:val="003F7E3D"/>
    <w:rsid w:val="0040117A"/>
    <w:rsid w:val="004055CE"/>
    <w:rsid w:val="0042641D"/>
    <w:rsid w:val="00495B6E"/>
    <w:rsid w:val="00497B23"/>
    <w:rsid w:val="004A01E0"/>
    <w:rsid w:val="004B7B31"/>
    <w:rsid w:val="004D2EC1"/>
    <w:rsid w:val="004E1565"/>
    <w:rsid w:val="00500DF8"/>
    <w:rsid w:val="005326B4"/>
    <w:rsid w:val="005363C4"/>
    <w:rsid w:val="00554442"/>
    <w:rsid w:val="005625DC"/>
    <w:rsid w:val="00580844"/>
    <w:rsid w:val="005828D9"/>
    <w:rsid w:val="0058304A"/>
    <w:rsid w:val="005877A2"/>
    <w:rsid w:val="005A48FD"/>
    <w:rsid w:val="005B7C15"/>
    <w:rsid w:val="005C7E5B"/>
    <w:rsid w:val="0060244B"/>
    <w:rsid w:val="0062171A"/>
    <w:rsid w:val="006411F2"/>
    <w:rsid w:val="0067008A"/>
    <w:rsid w:val="00677CE3"/>
    <w:rsid w:val="00677E33"/>
    <w:rsid w:val="006A4D59"/>
    <w:rsid w:val="006A52FE"/>
    <w:rsid w:val="006D5C04"/>
    <w:rsid w:val="006E39C5"/>
    <w:rsid w:val="006F5378"/>
    <w:rsid w:val="00704A49"/>
    <w:rsid w:val="00714301"/>
    <w:rsid w:val="00714653"/>
    <w:rsid w:val="00726C43"/>
    <w:rsid w:val="00734DE1"/>
    <w:rsid w:val="00752DD2"/>
    <w:rsid w:val="00764661"/>
    <w:rsid w:val="00775603"/>
    <w:rsid w:val="00786CA7"/>
    <w:rsid w:val="007949C4"/>
    <w:rsid w:val="007A346D"/>
    <w:rsid w:val="007B4011"/>
    <w:rsid w:val="007B514E"/>
    <w:rsid w:val="007B686D"/>
    <w:rsid w:val="007E300D"/>
    <w:rsid w:val="0080725E"/>
    <w:rsid w:val="00807CD2"/>
    <w:rsid w:val="008641B7"/>
    <w:rsid w:val="0087591F"/>
    <w:rsid w:val="008770CF"/>
    <w:rsid w:val="00885525"/>
    <w:rsid w:val="00886B55"/>
    <w:rsid w:val="008B3EA7"/>
    <w:rsid w:val="008C15A9"/>
    <w:rsid w:val="008C36D1"/>
    <w:rsid w:val="008D0DFF"/>
    <w:rsid w:val="008D1714"/>
    <w:rsid w:val="008E632C"/>
    <w:rsid w:val="009043DF"/>
    <w:rsid w:val="00921711"/>
    <w:rsid w:val="009C2C51"/>
    <w:rsid w:val="00A101D7"/>
    <w:rsid w:val="00A24D88"/>
    <w:rsid w:val="00A51402"/>
    <w:rsid w:val="00A53753"/>
    <w:rsid w:val="00A54BE1"/>
    <w:rsid w:val="00A632F8"/>
    <w:rsid w:val="00A64D44"/>
    <w:rsid w:val="00A67256"/>
    <w:rsid w:val="00A67BDC"/>
    <w:rsid w:val="00A715B1"/>
    <w:rsid w:val="00A73E07"/>
    <w:rsid w:val="00A74687"/>
    <w:rsid w:val="00A87D67"/>
    <w:rsid w:val="00A90DD4"/>
    <w:rsid w:val="00A96B84"/>
    <w:rsid w:val="00AA106B"/>
    <w:rsid w:val="00AB6904"/>
    <w:rsid w:val="00AE6DDA"/>
    <w:rsid w:val="00B04790"/>
    <w:rsid w:val="00B41BAE"/>
    <w:rsid w:val="00B4472E"/>
    <w:rsid w:val="00B512CD"/>
    <w:rsid w:val="00B641D7"/>
    <w:rsid w:val="00B70FB2"/>
    <w:rsid w:val="00B81FD6"/>
    <w:rsid w:val="00B820B7"/>
    <w:rsid w:val="00B97889"/>
    <w:rsid w:val="00BA4370"/>
    <w:rsid w:val="00BB594E"/>
    <w:rsid w:val="00BC5E4E"/>
    <w:rsid w:val="00C011F4"/>
    <w:rsid w:val="00C0719A"/>
    <w:rsid w:val="00C32442"/>
    <w:rsid w:val="00C3309A"/>
    <w:rsid w:val="00C506FA"/>
    <w:rsid w:val="00C51A61"/>
    <w:rsid w:val="00C63B3E"/>
    <w:rsid w:val="00C64166"/>
    <w:rsid w:val="00C80541"/>
    <w:rsid w:val="00CB27C2"/>
    <w:rsid w:val="00CC00B1"/>
    <w:rsid w:val="00CC2BBA"/>
    <w:rsid w:val="00CC67C2"/>
    <w:rsid w:val="00D01BD9"/>
    <w:rsid w:val="00D06CBB"/>
    <w:rsid w:val="00D27652"/>
    <w:rsid w:val="00D309DC"/>
    <w:rsid w:val="00D331E7"/>
    <w:rsid w:val="00D336F0"/>
    <w:rsid w:val="00D46C6A"/>
    <w:rsid w:val="00D769ED"/>
    <w:rsid w:val="00D91687"/>
    <w:rsid w:val="00DA756C"/>
    <w:rsid w:val="00DC3AC6"/>
    <w:rsid w:val="00DC4883"/>
    <w:rsid w:val="00DD3539"/>
    <w:rsid w:val="00DE3565"/>
    <w:rsid w:val="00DE67CF"/>
    <w:rsid w:val="00DF4D8A"/>
    <w:rsid w:val="00E0273C"/>
    <w:rsid w:val="00E11884"/>
    <w:rsid w:val="00E8629C"/>
    <w:rsid w:val="00EA25CA"/>
    <w:rsid w:val="00EA2B7D"/>
    <w:rsid w:val="00EA3E3A"/>
    <w:rsid w:val="00EB6F79"/>
    <w:rsid w:val="00EE1FE1"/>
    <w:rsid w:val="00EF3898"/>
    <w:rsid w:val="00F4528A"/>
    <w:rsid w:val="00F45B66"/>
    <w:rsid w:val="00F54F0A"/>
    <w:rsid w:val="00F80966"/>
    <w:rsid w:val="00FB6973"/>
    <w:rsid w:val="00FD23ED"/>
    <w:rsid w:val="00FE5CB6"/>
    <w:rsid w:val="00FF0C7E"/>
    <w:rsid w:val="00FF6DAE"/>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5:docId w15:val="{945A5F9B-1036-BC47-9C7A-388BA0210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s-U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lang w:val="es-419"/>
    </w:rPr>
  </w:style>
  <w:style w:type="paragraph" w:styleId="Ttulo1">
    <w:name w:val="heading 1"/>
    <w:basedOn w:val="Normal"/>
    <w:next w:val="Normal"/>
    <w:link w:val="Ttulo1Car"/>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comentarioCar">
    <w:name w:val="Texto comentario Car"/>
    <w:link w:val="Textocomentario"/>
    <w:uiPriority w:val="99"/>
    <w:semiHidden/>
    <w:qFormat/>
    <w:rPr>
      <w:sz w:val="20"/>
      <w:szCs w:val="20"/>
    </w:rPr>
  </w:style>
  <w:style w:type="character" w:styleId="Refdecomentario">
    <w:name w:val="annotation reference"/>
    <w:uiPriority w:val="99"/>
    <w:semiHidden/>
    <w:unhideWhenUsed/>
    <w:qFormat/>
    <w:rPr>
      <w:sz w:val="16"/>
      <w:szCs w:val="16"/>
    </w:rPr>
  </w:style>
  <w:style w:type="character" w:customStyle="1" w:styleId="EnlacedeInternet">
    <w:name w:val="Enlace de Internet"/>
    <w:uiPriority w:val="99"/>
    <w:unhideWhenUsed/>
    <w:rsid w:val="00F05C2F"/>
    <w:rPr>
      <w:color w:val="0000FF"/>
      <w:u w:val="single"/>
    </w:rPr>
  </w:style>
  <w:style w:type="character" w:customStyle="1" w:styleId="TextonotapieCar">
    <w:name w:val="Texto nota pie Car"/>
    <w:link w:val="Textonotapie"/>
    <w:uiPriority w:val="99"/>
    <w:qFormat/>
    <w:rsid w:val="00430BDB"/>
    <w:rPr>
      <w:rFonts w:ascii="Times New Roman" w:eastAsia="Cambria" w:hAnsi="Times New Roman" w:cs="Times New Roman"/>
      <w:sz w:val="20"/>
      <w:szCs w:val="20"/>
      <w:lang w:val="es-EC" w:eastAsia="en-US"/>
    </w:rPr>
  </w:style>
  <w:style w:type="character" w:customStyle="1" w:styleId="Ancladenotaalpie">
    <w:name w:val="Ancla de nota al pie"/>
    <w:rPr>
      <w:vertAlign w:val="superscript"/>
    </w:rPr>
  </w:style>
  <w:style w:type="character" w:customStyle="1" w:styleId="FootnoteCharacters">
    <w:name w:val="Footnote Characters"/>
    <w:uiPriority w:val="99"/>
    <w:unhideWhenUsed/>
    <w:qFormat/>
    <w:rsid w:val="00430BDB"/>
    <w:rPr>
      <w:vertAlign w:val="superscript"/>
    </w:rPr>
  </w:style>
  <w:style w:type="character" w:customStyle="1" w:styleId="Ninguno">
    <w:name w:val="Ninguno"/>
    <w:qFormat/>
    <w:rsid w:val="00F05C2F"/>
    <w:rPr>
      <w:lang w:val="nl-NL"/>
    </w:rPr>
  </w:style>
  <w:style w:type="character" w:customStyle="1" w:styleId="PrrafodelistaCar">
    <w:name w:val="Párrafo de lista Car"/>
    <w:link w:val="Prrafodelista"/>
    <w:uiPriority w:val="34"/>
    <w:qFormat/>
    <w:locked/>
    <w:rsid w:val="00F05C2F"/>
    <w:rPr>
      <w:rFonts w:ascii="Times New Roman" w:eastAsia="Cambria" w:hAnsi="Times New Roman" w:cs="Times New Roman"/>
      <w:sz w:val="20"/>
      <w:lang w:val="es-EC" w:eastAsia="en-US"/>
    </w:rPr>
  </w:style>
  <w:style w:type="character" w:customStyle="1" w:styleId="Ttulo1Car">
    <w:name w:val="Título 1 Car"/>
    <w:link w:val="Ttulo1"/>
    <w:uiPriority w:val="9"/>
    <w:qFormat/>
    <w:rsid w:val="00F05C2F"/>
    <w:rPr>
      <w:sz w:val="40"/>
      <w:szCs w:val="40"/>
    </w:rPr>
  </w:style>
  <w:style w:type="character" w:customStyle="1" w:styleId="TextodegloboCar">
    <w:name w:val="Texto de globo Car"/>
    <w:link w:val="Textodeglobo"/>
    <w:uiPriority w:val="99"/>
    <w:semiHidden/>
    <w:qFormat/>
    <w:rsid w:val="00F05C2F"/>
    <w:rPr>
      <w:rFonts w:ascii="Lucida Grande" w:eastAsia="Cambria" w:hAnsi="Lucida Grande" w:cs="Lucida Grande"/>
      <w:sz w:val="18"/>
      <w:szCs w:val="18"/>
      <w:lang w:val="es-ES_tradnl" w:eastAsia="es-ES"/>
    </w:rPr>
  </w:style>
  <w:style w:type="character" w:customStyle="1" w:styleId="TextoindependienteCar">
    <w:name w:val="Texto independiente Car"/>
    <w:link w:val="Textoindependiente"/>
    <w:uiPriority w:val="1"/>
    <w:qFormat/>
    <w:rsid w:val="00F05C2F"/>
    <w:rPr>
      <w:rFonts w:ascii="Cambria" w:eastAsia="Cambria" w:hAnsi="Cambria" w:cs="Cambria"/>
      <w:b/>
      <w:bCs/>
      <w:lang w:val="es-ES" w:eastAsia="en-US"/>
    </w:rPr>
  </w:style>
  <w:style w:type="character" w:customStyle="1" w:styleId="TtuloCar">
    <w:name w:val="Título Car"/>
    <w:link w:val="Ttulo"/>
    <w:qFormat/>
    <w:rsid w:val="00F05C2F"/>
    <w:rPr>
      <w:sz w:val="52"/>
      <w:szCs w:val="52"/>
    </w:rPr>
  </w:style>
  <w:style w:type="character" w:customStyle="1" w:styleId="ListLabel1">
    <w:name w:val="ListLabel 1"/>
    <w:qFormat/>
    <w:rsid w:val="00677E33"/>
    <w:rPr>
      <w:rFonts w:ascii="Baskerville" w:hAnsi="Baskerville"/>
      <w:b/>
      <w:bCs/>
      <w:sz w:val="22"/>
    </w:rPr>
  </w:style>
  <w:style w:type="character" w:customStyle="1" w:styleId="ListLabel2">
    <w:name w:val="ListLabel 2"/>
    <w:qFormat/>
    <w:rPr>
      <w:rFonts w:ascii="Times New Roman" w:hAnsi="Times New Roman"/>
      <w:b/>
      <w:sz w:val="24"/>
      <w:u w:val="none"/>
    </w:rPr>
  </w:style>
  <w:style w:type="character" w:customStyle="1" w:styleId="ListLabel3">
    <w:name w:val="ListLabel 3"/>
    <w:qFormat/>
    <w:rPr>
      <w:u w:val="none"/>
    </w:rPr>
  </w:style>
  <w:style w:type="character" w:customStyle="1" w:styleId="ListLabel4">
    <w:name w:val="ListLabel 4"/>
    <w:qFormat/>
    <w:rPr>
      <w:u w:val="none"/>
    </w:rPr>
  </w:style>
  <w:style w:type="character" w:customStyle="1" w:styleId="ListLabel5">
    <w:name w:val="ListLabel 5"/>
    <w:qFormat/>
    <w:rPr>
      <w:u w:val="none"/>
    </w:rPr>
  </w:style>
  <w:style w:type="character" w:customStyle="1" w:styleId="ListLabel6">
    <w:name w:val="ListLabel 6"/>
    <w:qFormat/>
    <w:rPr>
      <w:u w:val="none"/>
    </w:rPr>
  </w:style>
  <w:style w:type="character" w:customStyle="1" w:styleId="ListLabel7">
    <w:name w:val="ListLabel 7"/>
    <w:qFormat/>
    <w:rPr>
      <w:u w:val="none"/>
    </w:rPr>
  </w:style>
  <w:style w:type="character" w:customStyle="1" w:styleId="ListLabel8">
    <w:name w:val="ListLabel 8"/>
    <w:qFormat/>
    <w:rPr>
      <w:u w:val="none"/>
    </w:rPr>
  </w:style>
  <w:style w:type="character" w:customStyle="1" w:styleId="ListLabel9">
    <w:name w:val="ListLabel 9"/>
    <w:qFormat/>
    <w:rPr>
      <w:u w:val="none"/>
    </w:rPr>
  </w:style>
  <w:style w:type="character" w:customStyle="1" w:styleId="ListLabel10">
    <w:name w:val="ListLabel 10"/>
    <w:qFormat/>
    <w:rPr>
      <w:u w:val="none"/>
    </w:rPr>
  </w:style>
  <w:style w:type="character" w:customStyle="1" w:styleId="ListLabel11">
    <w:name w:val="ListLabel 11"/>
    <w:qFormat/>
    <w:rPr>
      <w:rFonts w:ascii="Times New Roman" w:hAnsi="Times New Roman"/>
      <w:sz w:val="24"/>
      <w:u w:val="none"/>
    </w:rPr>
  </w:style>
  <w:style w:type="character" w:customStyle="1" w:styleId="ListLabel12">
    <w:name w:val="ListLabel 12"/>
    <w:qFormat/>
    <w:rPr>
      <w:u w:val="none"/>
    </w:rPr>
  </w:style>
  <w:style w:type="character" w:customStyle="1" w:styleId="ListLabel13">
    <w:name w:val="ListLabel 13"/>
    <w:qFormat/>
    <w:rPr>
      <w:u w:val="none"/>
    </w:rPr>
  </w:style>
  <w:style w:type="character" w:customStyle="1" w:styleId="ListLabel14">
    <w:name w:val="ListLabel 14"/>
    <w:qFormat/>
    <w:rPr>
      <w:u w:val="none"/>
    </w:rPr>
  </w:style>
  <w:style w:type="character" w:customStyle="1" w:styleId="ListLabel15">
    <w:name w:val="ListLabel 15"/>
    <w:qFormat/>
    <w:rPr>
      <w:u w:val="none"/>
    </w:rPr>
  </w:style>
  <w:style w:type="character" w:customStyle="1" w:styleId="ListLabel16">
    <w:name w:val="ListLabel 16"/>
    <w:qFormat/>
    <w:rPr>
      <w:u w:val="none"/>
    </w:rPr>
  </w:style>
  <w:style w:type="character" w:customStyle="1" w:styleId="ListLabel17">
    <w:name w:val="ListLabel 17"/>
    <w:qFormat/>
    <w:rPr>
      <w:u w:val="none"/>
    </w:rPr>
  </w:style>
  <w:style w:type="character" w:customStyle="1" w:styleId="ListLabel18">
    <w:name w:val="ListLabel 18"/>
    <w:qFormat/>
    <w:rPr>
      <w:u w:val="none"/>
    </w:rPr>
  </w:style>
  <w:style w:type="character" w:customStyle="1" w:styleId="ListLabel19">
    <w:name w:val="ListLabel 19"/>
    <w:qFormat/>
    <w:rPr>
      <w:u w:val="none"/>
    </w:rPr>
  </w:style>
  <w:style w:type="character" w:customStyle="1" w:styleId="ListLabel20">
    <w:name w:val="ListLabel 20"/>
    <w:qFormat/>
    <w:rPr>
      <w:rFonts w:ascii="Times New Roman" w:hAnsi="Times New Roman"/>
      <w:sz w:val="24"/>
      <w:u w:val="none"/>
    </w:rPr>
  </w:style>
  <w:style w:type="character" w:customStyle="1" w:styleId="ListLabel21">
    <w:name w:val="ListLabel 21"/>
    <w:qFormat/>
    <w:rPr>
      <w:u w:val="none"/>
    </w:rPr>
  </w:style>
  <w:style w:type="character" w:customStyle="1" w:styleId="ListLabel22">
    <w:name w:val="ListLabel 22"/>
    <w:qFormat/>
    <w:rPr>
      <w:u w:val="none"/>
    </w:rPr>
  </w:style>
  <w:style w:type="character" w:customStyle="1" w:styleId="ListLabel23">
    <w:name w:val="ListLabel 23"/>
    <w:qFormat/>
    <w:rPr>
      <w:u w:val="none"/>
    </w:rPr>
  </w:style>
  <w:style w:type="character" w:customStyle="1" w:styleId="ListLabel24">
    <w:name w:val="ListLabel 24"/>
    <w:qFormat/>
    <w:rPr>
      <w:u w:val="none"/>
    </w:rPr>
  </w:style>
  <w:style w:type="character" w:customStyle="1" w:styleId="ListLabel25">
    <w:name w:val="ListLabel 25"/>
    <w:qFormat/>
    <w:rPr>
      <w:u w:val="none"/>
    </w:rPr>
  </w:style>
  <w:style w:type="character" w:customStyle="1" w:styleId="ListLabel26">
    <w:name w:val="ListLabel 26"/>
    <w:qFormat/>
    <w:rPr>
      <w:u w:val="none"/>
    </w:rPr>
  </w:style>
  <w:style w:type="character" w:customStyle="1" w:styleId="ListLabel27">
    <w:name w:val="ListLabel 27"/>
    <w:qFormat/>
    <w:rPr>
      <w:u w:val="none"/>
    </w:rPr>
  </w:style>
  <w:style w:type="character" w:customStyle="1" w:styleId="ListLabel28">
    <w:name w:val="ListLabel 28"/>
    <w:qFormat/>
    <w:rPr>
      <w:u w:val="none"/>
    </w:rPr>
  </w:style>
  <w:style w:type="character" w:customStyle="1" w:styleId="ListLabel29">
    <w:name w:val="ListLabel 29"/>
    <w:qFormat/>
    <w:rPr>
      <w:rFonts w:ascii="Times New Roman" w:hAnsi="Times New Roman"/>
      <w:sz w:val="24"/>
      <w:u w:val="none"/>
    </w:rPr>
  </w:style>
  <w:style w:type="character" w:customStyle="1" w:styleId="ListLabel30">
    <w:name w:val="ListLabel 30"/>
    <w:qFormat/>
    <w:rPr>
      <w:u w:val="none"/>
    </w:rPr>
  </w:style>
  <w:style w:type="character" w:customStyle="1" w:styleId="ListLabel31">
    <w:name w:val="ListLabel 31"/>
    <w:qFormat/>
    <w:rPr>
      <w:u w:val="none"/>
    </w:rPr>
  </w:style>
  <w:style w:type="character" w:customStyle="1" w:styleId="ListLabel32">
    <w:name w:val="ListLabel 32"/>
    <w:qFormat/>
    <w:rPr>
      <w:u w:val="none"/>
    </w:rPr>
  </w:style>
  <w:style w:type="character" w:customStyle="1" w:styleId="ListLabel33">
    <w:name w:val="ListLabel 33"/>
    <w:qFormat/>
    <w:rPr>
      <w:u w:val="none"/>
    </w:rPr>
  </w:style>
  <w:style w:type="character" w:customStyle="1" w:styleId="ListLabel34">
    <w:name w:val="ListLabel 34"/>
    <w:qFormat/>
    <w:rPr>
      <w:u w:val="none"/>
    </w:rPr>
  </w:style>
  <w:style w:type="character" w:customStyle="1" w:styleId="ListLabel35">
    <w:name w:val="ListLabel 35"/>
    <w:qFormat/>
    <w:rPr>
      <w:u w:val="none"/>
    </w:rPr>
  </w:style>
  <w:style w:type="character" w:customStyle="1" w:styleId="ListLabel36">
    <w:name w:val="ListLabel 36"/>
    <w:qFormat/>
    <w:rPr>
      <w:u w:val="none"/>
    </w:rPr>
  </w:style>
  <w:style w:type="character" w:customStyle="1" w:styleId="ListLabel37">
    <w:name w:val="ListLabel 37"/>
    <w:qFormat/>
    <w:rPr>
      <w:u w:val="none"/>
    </w:rPr>
  </w:style>
  <w:style w:type="character" w:customStyle="1" w:styleId="ListLabel38">
    <w:name w:val="ListLabel 38"/>
    <w:qFormat/>
    <w:rPr>
      <w:rFonts w:ascii="Times New Roman" w:hAnsi="Times New Roman"/>
      <w:sz w:val="24"/>
      <w:u w:val="none"/>
    </w:rPr>
  </w:style>
  <w:style w:type="character" w:customStyle="1" w:styleId="ListLabel39">
    <w:name w:val="ListLabel 39"/>
    <w:qFormat/>
    <w:rPr>
      <w:u w:val="none"/>
    </w:rPr>
  </w:style>
  <w:style w:type="character" w:customStyle="1" w:styleId="ListLabel40">
    <w:name w:val="ListLabel 40"/>
    <w:qFormat/>
    <w:rPr>
      <w:u w:val="none"/>
    </w:rPr>
  </w:style>
  <w:style w:type="character" w:customStyle="1" w:styleId="ListLabel41">
    <w:name w:val="ListLabel 41"/>
    <w:qFormat/>
    <w:rPr>
      <w:u w:val="none"/>
    </w:rPr>
  </w:style>
  <w:style w:type="character" w:customStyle="1" w:styleId="ListLabel42">
    <w:name w:val="ListLabel 42"/>
    <w:qFormat/>
    <w:rPr>
      <w:u w:val="none"/>
    </w:rPr>
  </w:style>
  <w:style w:type="character" w:customStyle="1" w:styleId="ListLabel43">
    <w:name w:val="ListLabel 43"/>
    <w:qFormat/>
    <w:rPr>
      <w:u w:val="none"/>
    </w:rPr>
  </w:style>
  <w:style w:type="character" w:customStyle="1" w:styleId="ListLabel44">
    <w:name w:val="ListLabel 44"/>
    <w:qFormat/>
    <w:rPr>
      <w:u w:val="none"/>
    </w:rPr>
  </w:style>
  <w:style w:type="character" w:customStyle="1" w:styleId="ListLabel45">
    <w:name w:val="ListLabel 45"/>
    <w:qFormat/>
    <w:rPr>
      <w:u w:val="none"/>
    </w:rPr>
  </w:style>
  <w:style w:type="character" w:customStyle="1" w:styleId="ListLabel46">
    <w:name w:val="ListLabel 46"/>
    <w:qFormat/>
    <w:rPr>
      <w:u w:val="none"/>
    </w:rPr>
  </w:style>
  <w:style w:type="character" w:customStyle="1" w:styleId="ListLabel47">
    <w:name w:val="ListLabel 47"/>
    <w:qFormat/>
    <w:rPr>
      <w:rFonts w:ascii="Times New Roman" w:hAnsi="Times New Roman"/>
      <w:sz w:val="24"/>
      <w:u w:val="none"/>
    </w:rPr>
  </w:style>
  <w:style w:type="character" w:customStyle="1" w:styleId="ListLabel48">
    <w:name w:val="ListLabel 48"/>
    <w:qFormat/>
    <w:rPr>
      <w:u w:val="none"/>
    </w:rPr>
  </w:style>
  <w:style w:type="character" w:customStyle="1" w:styleId="ListLabel49">
    <w:name w:val="ListLabel 49"/>
    <w:qFormat/>
    <w:rPr>
      <w:u w:val="none"/>
    </w:rPr>
  </w:style>
  <w:style w:type="character" w:customStyle="1" w:styleId="ListLabel50">
    <w:name w:val="ListLabel 50"/>
    <w:qFormat/>
    <w:rPr>
      <w:u w:val="none"/>
    </w:rPr>
  </w:style>
  <w:style w:type="character" w:customStyle="1" w:styleId="ListLabel51">
    <w:name w:val="ListLabel 51"/>
    <w:qFormat/>
    <w:rPr>
      <w:u w:val="none"/>
    </w:rPr>
  </w:style>
  <w:style w:type="character" w:customStyle="1" w:styleId="ListLabel52">
    <w:name w:val="ListLabel 52"/>
    <w:qFormat/>
    <w:rPr>
      <w:u w:val="none"/>
    </w:rPr>
  </w:style>
  <w:style w:type="character" w:customStyle="1" w:styleId="ListLabel53">
    <w:name w:val="ListLabel 53"/>
    <w:qFormat/>
    <w:rPr>
      <w:u w:val="none"/>
    </w:rPr>
  </w:style>
  <w:style w:type="character" w:customStyle="1" w:styleId="ListLabel54">
    <w:name w:val="ListLabel 54"/>
    <w:qFormat/>
    <w:rPr>
      <w:u w:val="none"/>
    </w:rPr>
  </w:style>
  <w:style w:type="character" w:customStyle="1" w:styleId="ListLabel55">
    <w:name w:val="ListLabel 55"/>
    <w:qFormat/>
    <w:rPr>
      <w:u w:val="none"/>
    </w:rPr>
  </w:style>
  <w:style w:type="character" w:customStyle="1" w:styleId="ListLabel56">
    <w:name w:val="ListLabel 56"/>
    <w:qFormat/>
    <w:rPr>
      <w:rFonts w:ascii="Times New Roman" w:hAnsi="Times New Roman"/>
      <w:sz w:val="24"/>
      <w:u w:val="none"/>
    </w:rPr>
  </w:style>
  <w:style w:type="character" w:customStyle="1" w:styleId="ListLabel57">
    <w:name w:val="ListLabel 57"/>
    <w:qFormat/>
    <w:rPr>
      <w:u w:val="none"/>
    </w:rPr>
  </w:style>
  <w:style w:type="character" w:customStyle="1" w:styleId="ListLabel58">
    <w:name w:val="ListLabel 58"/>
    <w:qFormat/>
    <w:rPr>
      <w:u w:val="none"/>
    </w:rPr>
  </w:style>
  <w:style w:type="character" w:customStyle="1" w:styleId="ListLabel59">
    <w:name w:val="ListLabel 59"/>
    <w:qFormat/>
    <w:rPr>
      <w:u w:val="none"/>
    </w:rPr>
  </w:style>
  <w:style w:type="character" w:customStyle="1" w:styleId="ListLabel60">
    <w:name w:val="ListLabel 60"/>
    <w:qFormat/>
    <w:rPr>
      <w:u w:val="none"/>
    </w:rPr>
  </w:style>
  <w:style w:type="character" w:customStyle="1" w:styleId="ListLabel61">
    <w:name w:val="ListLabel 61"/>
    <w:qFormat/>
    <w:rPr>
      <w:u w:val="none"/>
    </w:rPr>
  </w:style>
  <w:style w:type="character" w:customStyle="1" w:styleId="ListLabel62">
    <w:name w:val="ListLabel 62"/>
    <w:qFormat/>
    <w:rPr>
      <w:u w:val="none"/>
    </w:rPr>
  </w:style>
  <w:style w:type="character" w:customStyle="1" w:styleId="ListLabel63">
    <w:name w:val="ListLabel 63"/>
    <w:qFormat/>
    <w:rPr>
      <w:u w:val="none"/>
    </w:rPr>
  </w:style>
  <w:style w:type="character" w:customStyle="1" w:styleId="ListLabel64">
    <w:name w:val="ListLabel 64"/>
    <w:qFormat/>
    <w:rPr>
      <w:u w:val="none"/>
    </w:rPr>
  </w:style>
  <w:style w:type="character" w:customStyle="1" w:styleId="ListLabel65">
    <w:name w:val="ListLabel 65"/>
    <w:qFormat/>
    <w:rPr>
      <w:rFonts w:ascii="Times New Roman" w:hAnsi="Times New Roman"/>
      <w:sz w:val="24"/>
      <w:u w:val="none"/>
    </w:rPr>
  </w:style>
  <w:style w:type="character" w:customStyle="1" w:styleId="ListLabel66">
    <w:name w:val="ListLabel 66"/>
    <w:qFormat/>
    <w:rPr>
      <w:u w:val="none"/>
    </w:rPr>
  </w:style>
  <w:style w:type="character" w:customStyle="1" w:styleId="ListLabel67">
    <w:name w:val="ListLabel 67"/>
    <w:qFormat/>
    <w:rPr>
      <w:u w:val="none"/>
    </w:rPr>
  </w:style>
  <w:style w:type="character" w:customStyle="1" w:styleId="ListLabel68">
    <w:name w:val="ListLabel 68"/>
    <w:qFormat/>
    <w:rPr>
      <w:u w:val="none"/>
    </w:rPr>
  </w:style>
  <w:style w:type="character" w:customStyle="1" w:styleId="ListLabel69">
    <w:name w:val="ListLabel 69"/>
    <w:qFormat/>
    <w:rPr>
      <w:u w:val="none"/>
    </w:rPr>
  </w:style>
  <w:style w:type="character" w:customStyle="1" w:styleId="ListLabel70">
    <w:name w:val="ListLabel 70"/>
    <w:qFormat/>
    <w:rPr>
      <w:u w:val="none"/>
    </w:rPr>
  </w:style>
  <w:style w:type="character" w:customStyle="1" w:styleId="ListLabel71">
    <w:name w:val="ListLabel 71"/>
    <w:qFormat/>
    <w:rPr>
      <w:u w:val="none"/>
    </w:rPr>
  </w:style>
  <w:style w:type="character" w:customStyle="1" w:styleId="ListLabel72">
    <w:name w:val="ListLabel 72"/>
    <w:qFormat/>
    <w:rPr>
      <w:u w:val="none"/>
    </w:rPr>
  </w:style>
  <w:style w:type="character" w:customStyle="1" w:styleId="ListLabel73">
    <w:name w:val="ListLabel 73"/>
    <w:qFormat/>
    <w:rPr>
      <w:u w:val="none"/>
    </w:rPr>
  </w:style>
  <w:style w:type="character" w:customStyle="1" w:styleId="ListLabel74">
    <w:name w:val="ListLabel 74"/>
    <w:qFormat/>
    <w:rPr>
      <w:rFonts w:ascii="Times New Roman" w:hAnsi="Times New Roman"/>
      <w:sz w:val="24"/>
      <w:u w:val="none"/>
    </w:rPr>
  </w:style>
  <w:style w:type="character" w:customStyle="1" w:styleId="ListLabel75">
    <w:name w:val="ListLabel 75"/>
    <w:qFormat/>
    <w:rPr>
      <w:u w:val="none"/>
    </w:rPr>
  </w:style>
  <w:style w:type="character" w:customStyle="1" w:styleId="ListLabel76">
    <w:name w:val="ListLabel 76"/>
    <w:qFormat/>
    <w:rPr>
      <w:u w:val="none"/>
    </w:rPr>
  </w:style>
  <w:style w:type="character" w:customStyle="1" w:styleId="ListLabel77">
    <w:name w:val="ListLabel 77"/>
    <w:qFormat/>
    <w:rPr>
      <w:u w:val="none"/>
    </w:rPr>
  </w:style>
  <w:style w:type="character" w:customStyle="1" w:styleId="ListLabel78">
    <w:name w:val="ListLabel 78"/>
    <w:qFormat/>
    <w:rPr>
      <w:u w:val="none"/>
    </w:rPr>
  </w:style>
  <w:style w:type="character" w:customStyle="1" w:styleId="ListLabel79">
    <w:name w:val="ListLabel 79"/>
    <w:qFormat/>
    <w:rPr>
      <w:u w:val="none"/>
    </w:rPr>
  </w:style>
  <w:style w:type="character" w:customStyle="1" w:styleId="ListLabel80">
    <w:name w:val="ListLabel 80"/>
    <w:qFormat/>
    <w:rPr>
      <w:u w:val="none"/>
    </w:rPr>
  </w:style>
  <w:style w:type="character" w:customStyle="1" w:styleId="ListLabel81">
    <w:name w:val="ListLabel 81"/>
    <w:qFormat/>
    <w:rPr>
      <w:u w:val="none"/>
    </w:rPr>
  </w:style>
  <w:style w:type="character" w:customStyle="1" w:styleId="ListLabel82">
    <w:name w:val="ListLabel 82"/>
    <w:qFormat/>
    <w:rPr>
      <w:u w:val="none"/>
    </w:rPr>
  </w:style>
  <w:style w:type="character" w:customStyle="1" w:styleId="ListLabel83">
    <w:name w:val="ListLabel 83"/>
    <w:qFormat/>
    <w:rPr>
      <w:u w:val="none"/>
    </w:rPr>
  </w:style>
  <w:style w:type="character" w:customStyle="1" w:styleId="ListLabel84">
    <w:name w:val="ListLabel 84"/>
    <w:qFormat/>
    <w:rPr>
      <w:rFonts w:ascii="Times New Roman" w:hAnsi="Times New Roman"/>
      <w:sz w:val="24"/>
      <w:u w:val="none"/>
    </w:rPr>
  </w:style>
  <w:style w:type="character" w:customStyle="1" w:styleId="ListLabel85">
    <w:name w:val="ListLabel 85"/>
    <w:qFormat/>
    <w:rPr>
      <w:u w:val="none"/>
    </w:rPr>
  </w:style>
  <w:style w:type="character" w:customStyle="1" w:styleId="ListLabel86">
    <w:name w:val="ListLabel 86"/>
    <w:qFormat/>
    <w:rPr>
      <w:u w:val="none"/>
    </w:rPr>
  </w:style>
  <w:style w:type="character" w:customStyle="1" w:styleId="ListLabel87">
    <w:name w:val="ListLabel 87"/>
    <w:qFormat/>
    <w:rPr>
      <w:u w:val="none"/>
    </w:rPr>
  </w:style>
  <w:style w:type="character" w:customStyle="1" w:styleId="ListLabel88">
    <w:name w:val="ListLabel 88"/>
    <w:qFormat/>
    <w:rPr>
      <w:u w:val="none"/>
    </w:rPr>
  </w:style>
  <w:style w:type="character" w:customStyle="1" w:styleId="ListLabel89">
    <w:name w:val="ListLabel 89"/>
    <w:qFormat/>
    <w:rPr>
      <w:u w:val="none"/>
    </w:rPr>
  </w:style>
  <w:style w:type="character" w:customStyle="1" w:styleId="ListLabel90">
    <w:name w:val="ListLabel 90"/>
    <w:qFormat/>
    <w:rPr>
      <w:u w:val="none"/>
    </w:rPr>
  </w:style>
  <w:style w:type="character" w:customStyle="1" w:styleId="ListLabel91">
    <w:name w:val="ListLabel 91"/>
    <w:qFormat/>
    <w:rPr>
      <w:u w:val="none"/>
    </w:rPr>
  </w:style>
  <w:style w:type="character" w:customStyle="1" w:styleId="ListLabel92">
    <w:name w:val="ListLabel 92"/>
    <w:qFormat/>
    <w:rPr>
      <w:rFonts w:ascii="Times New Roman" w:hAnsi="Times New Roman"/>
      <w:sz w:val="24"/>
      <w:u w:val="none"/>
    </w:rPr>
  </w:style>
  <w:style w:type="character" w:customStyle="1" w:styleId="ListLabel93">
    <w:name w:val="ListLabel 93"/>
    <w:qFormat/>
    <w:rPr>
      <w:u w:val="none"/>
    </w:rPr>
  </w:style>
  <w:style w:type="character" w:customStyle="1" w:styleId="ListLabel94">
    <w:name w:val="ListLabel 94"/>
    <w:qFormat/>
    <w:rPr>
      <w:u w:val="none"/>
    </w:rPr>
  </w:style>
  <w:style w:type="character" w:customStyle="1" w:styleId="ListLabel95">
    <w:name w:val="ListLabel 95"/>
    <w:qFormat/>
    <w:rPr>
      <w:u w:val="none"/>
    </w:rPr>
  </w:style>
  <w:style w:type="character" w:customStyle="1" w:styleId="ListLabel96">
    <w:name w:val="ListLabel 96"/>
    <w:qFormat/>
    <w:rPr>
      <w:u w:val="none"/>
    </w:rPr>
  </w:style>
  <w:style w:type="character" w:customStyle="1" w:styleId="ListLabel97">
    <w:name w:val="ListLabel 97"/>
    <w:qFormat/>
    <w:rPr>
      <w:u w:val="none"/>
    </w:rPr>
  </w:style>
  <w:style w:type="character" w:customStyle="1" w:styleId="ListLabel98">
    <w:name w:val="ListLabel 98"/>
    <w:qFormat/>
    <w:rPr>
      <w:u w:val="none"/>
    </w:rPr>
  </w:style>
  <w:style w:type="character" w:customStyle="1" w:styleId="ListLabel99">
    <w:name w:val="ListLabel 99"/>
    <w:qFormat/>
    <w:rPr>
      <w:u w:val="none"/>
    </w:rPr>
  </w:style>
  <w:style w:type="character" w:customStyle="1" w:styleId="ListLabel100">
    <w:name w:val="ListLabel 100"/>
    <w:qFormat/>
    <w:rPr>
      <w:u w:val="none"/>
    </w:rPr>
  </w:style>
  <w:style w:type="character" w:customStyle="1" w:styleId="ListLabel101">
    <w:name w:val="ListLabel 101"/>
    <w:qFormat/>
    <w:rPr>
      <w:rFonts w:ascii="Times New Roman" w:hAnsi="Times New Roman"/>
      <w:sz w:val="24"/>
      <w:u w:val="none"/>
    </w:rPr>
  </w:style>
  <w:style w:type="character" w:customStyle="1" w:styleId="ListLabel102">
    <w:name w:val="ListLabel 102"/>
    <w:qFormat/>
    <w:rPr>
      <w:u w:val="none"/>
    </w:rPr>
  </w:style>
  <w:style w:type="character" w:customStyle="1" w:styleId="ListLabel103">
    <w:name w:val="ListLabel 103"/>
    <w:qFormat/>
    <w:rPr>
      <w:u w:val="none"/>
    </w:rPr>
  </w:style>
  <w:style w:type="character" w:customStyle="1" w:styleId="ListLabel104">
    <w:name w:val="ListLabel 104"/>
    <w:qFormat/>
    <w:rPr>
      <w:u w:val="none"/>
    </w:rPr>
  </w:style>
  <w:style w:type="character" w:customStyle="1" w:styleId="ListLabel105">
    <w:name w:val="ListLabel 105"/>
    <w:qFormat/>
    <w:rPr>
      <w:u w:val="none"/>
    </w:rPr>
  </w:style>
  <w:style w:type="character" w:customStyle="1" w:styleId="ListLabel106">
    <w:name w:val="ListLabel 106"/>
    <w:qFormat/>
    <w:rPr>
      <w:u w:val="none"/>
    </w:rPr>
  </w:style>
  <w:style w:type="character" w:customStyle="1" w:styleId="ListLabel107">
    <w:name w:val="ListLabel 107"/>
    <w:qFormat/>
    <w:rPr>
      <w:u w:val="none"/>
    </w:rPr>
  </w:style>
  <w:style w:type="character" w:customStyle="1" w:styleId="ListLabel108">
    <w:name w:val="ListLabel 108"/>
    <w:qFormat/>
    <w:rPr>
      <w:u w:val="none"/>
    </w:rPr>
  </w:style>
  <w:style w:type="character" w:customStyle="1" w:styleId="ListLabel109">
    <w:name w:val="ListLabel 109"/>
    <w:qFormat/>
    <w:rPr>
      <w:u w:val="none"/>
    </w:rPr>
  </w:style>
  <w:style w:type="character" w:customStyle="1" w:styleId="ListLabel110">
    <w:name w:val="ListLabel 110"/>
    <w:qFormat/>
    <w:rPr>
      <w:rFonts w:ascii="Times New Roman" w:hAnsi="Times New Roman"/>
      <w:sz w:val="24"/>
      <w:u w:val="none"/>
    </w:rPr>
  </w:style>
  <w:style w:type="character" w:customStyle="1" w:styleId="ListLabel111">
    <w:name w:val="ListLabel 111"/>
    <w:qFormat/>
    <w:rPr>
      <w:u w:val="none"/>
    </w:rPr>
  </w:style>
  <w:style w:type="character" w:customStyle="1" w:styleId="ListLabel112">
    <w:name w:val="ListLabel 112"/>
    <w:qFormat/>
    <w:rPr>
      <w:u w:val="none"/>
    </w:rPr>
  </w:style>
  <w:style w:type="character" w:customStyle="1" w:styleId="ListLabel113">
    <w:name w:val="ListLabel 113"/>
    <w:qFormat/>
    <w:rPr>
      <w:u w:val="none"/>
    </w:rPr>
  </w:style>
  <w:style w:type="character" w:customStyle="1" w:styleId="ListLabel114">
    <w:name w:val="ListLabel 114"/>
    <w:qFormat/>
    <w:rPr>
      <w:u w:val="none"/>
    </w:rPr>
  </w:style>
  <w:style w:type="character" w:customStyle="1" w:styleId="ListLabel115">
    <w:name w:val="ListLabel 115"/>
    <w:qFormat/>
    <w:rPr>
      <w:u w:val="none"/>
    </w:rPr>
  </w:style>
  <w:style w:type="character" w:customStyle="1" w:styleId="ListLabel116">
    <w:name w:val="ListLabel 116"/>
    <w:qFormat/>
    <w:rPr>
      <w:u w:val="none"/>
    </w:rPr>
  </w:style>
  <w:style w:type="character" w:customStyle="1" w:styleId="ListLabel117">
    <w:name w:val="ListLabel 117"/>
    <w:qFormat/>
    <w:rPr>
      <w:u w:val="none"/>
    </w:rPr>
  </w:style>
  <w:style w:type="character" w:customStyle="1" w:styleId="ListLabel118">
    <w:name w:val="ListLabel 118"/>
    <w:qFormat/>
    <w:rPr>
      <w:u w:val="none"/>
    </w:rPr>
  </w:style>
  <w:style w:type="character" w:customStyle="1" w:styleId="ListLabel119">
    <w:name w:val="ListLabel 119"/>
    <w:qFormat/>
    <w:rPr>
      <w:rFonts w:ascii="Times New Roman" w:hAnsi="Times New Roman"/>
      <w:sz w:val="18"/>
      <w:u w:val="none"/>
    </w:rPr>
  </w:style>
  <w:style w:type="character" w:customStyle="1" w:styleId="ListLabel120">
    <w:name w:val="ListLabel 120"/>
    <w:qFormat/>
    <w:rPr>
      <w:u w:val="none"/>
    </w:rPr>
  </w:style>
  <w:style w:type="character" w:customStyle="1" w:styleId="ListLabel121">
    <w:name w:val="ListLabel 121"/>
    <w:qFormat/>
    <w:rPr>
      <w:u w:val="none"/>
    </w:rPr>
  </w:style>
  <w:style w:type="character" w:customStyle="1" w:styleId="ListLabel122">
    <w:name w:val="ListLabel 122"/>
    <w:qFormat/>
    <w:rPr>
      <w:u w:val="none"/>
    </w:rPr>
  </w:style>
  <w:style w:type="character" w:customStyle="1" w:styleId="ListLabel123">
    <w:name w:val="ListLabel 123"/>
    <w:qFormat/>
    <w:rPr>
      <w:u w:val="none"/>
    </w:rPr>
  </w:style>
  <w:style w:type="character" w:customStyle="1" w:styleId="ListLabel124">
    <w:name w:val="ListLabel 124"/>
    <w:qFormat/>
    <w:rPr>
      <w:u w:val="none"/>
    </w:rPr>
  </w:style>
  <w:style w:type="character" w:customStyle="1" w:styleId="ListLabel125">
    <w:name w:val="ListLabel 125"/>
    <w:qFormat/>
    <w:rPr>
      <w:u w:val="none"/>
    </w:rPr>
  </w:style>
  <w:style w:type="character" w:customStyle="1" w:styleId="ListLabel126">
    <w:name w:val="ListLabel 126"/>
    <w:qFormat/>
    <w:rPr>
      <w:u w:val="none"/>
    </w:rPr>
  </w:style>
  <w:style w:type="character" w:customStyle="1" w:styleId="ListLabel127">
    <w:name w:val="ListLabel 127"/>
    <w:qFormat/>
    <w:rPr>
      <w:u w:val="none"/>
    </w:rPr>
  </w:style>
  <w:style w:type="character" w:customStyle="1" w:styleId="ListLabel128">
    <w:name w:val="ListLabel 128"/>
    <w:qFormat/>
    <w:rPr>
      <w:rFonts w:ascii="Times New Roman" w:hAnsi="Times New Roman"/>
      <w:sz w:val="24"/>
      <w:u w:val="none"/>
    </w:rPr>
  </w:style>
  <w:style w:type="character" w:customStyle="1" w:styleId="ListLabel129">
    <w:name w:val="ListLabel 129"/>
    <w:qFormat/>
    <w:rPr>
      <w:u w:val="none"/>
    </w:rPr>
  </w:style>
  <w:style w:type="character" w:customStyle="1" w:styleId="ListLabel130">
    <w:name w:val="ListLabel 130"/>
    <w:qFormat/>
    <w:rPr>
      <w:u w:val="none"/>
    </w:rPr>
  </w:style>
  <w:style w:type="character" w:customStyle="1" w:styleId="ListLabel131">
    <w:name w:val="ListLabel 131"/>
    <w:qFormat/>
    <w:rPr>
      <w:u w:val="none"/>
    </w:rPr>
  </w:style>
  <w:style w:type="character" w:customStyle="1" w:styleId="ListLabel132">
    <w:name w:val="ListLabel 132"/>
    <w:qFormat/>
    <w:rPr>
      <w:u w:val="none"/>
    </w:rPr>
  </w:style>
  <w:style w:type="character" w:customStyle="1" w:styleId="ListLabel133">
    <w:name w:val="ListLabel 133"/>
    <w:qFormat/>
    <w:rPr>
      <w:u w:val="none"/>
    </w:rPr>
  </w:style>
  <w:style w:type="character" w:customStyle="1" w:styleId="ListLabel134">
    <w:name w:val="ListLabel 134"/>
    <w:qFormat/>
    <w:rPr>
      <w:u w:val="none"/>
    </w:rPr>
  </w:style>
  <w:style w:type="character" w:customStyle="1" w:styleId="ListLabel135">
    <w:name w:val="ListLabel 135"/>
    <w:qFormat/>
    <w:rPr>
      <w:u w:val="none"/>
    </w:rPr>
  </w:style>
  <w:style w:type="character" w:customStyle="1" w:styleId="ListLabel136">
    <w:name w:val="ListLabel 136"/>
    <w:qFormat/>
    <w:rPr>
      <w:u w:val="none"/>
    </w:rPr>
  </w:style>
  <w:style w:type="character" w:customStyle="1" w:styleId="ListLabel137">
    <w:name w:val="ListLabel 137"/>
    <w:qFormat/>
    <w:rPr>
      <w:rFonts w:ascii="Times New Roman" w:hAnsi="Times New Roman"/>
      <w:sz w:val="24"/>
      <w:u w:val="none"/>
    </w:rPr>
  </w:style>
  <w:style w:type="character" w:customStyle="1" w:styleId="ListLabel138">
    <w:name w:val="ListLabel 138"/>
    <w:qFormat/>
    <w:rPr>
      <w:u w:val="none"/>
    </w:rPr>
  </w:style>
  <w:style w:type="character" w:customStyle="1" w:styleId="ListLabel139">
    <w:name w:val="ListLabel 139"/>
    <w:qFormat/>
    <w:rPr>
      <w:u w:val="none"/>
    </w:rPr>
  </w:style>
  <w:style w:type="character" w:customStyle="1" w:styleId="ListLabel140">
    <w:name w:val="ListLabel 140"/>
    <w:qFormat/>
    <w:rPr>
      <w:u w:val="none"/>
    </w:rPr>
  </w:style>
  <w:style w:type="character" w:customStyle="1" w:styleId="ListLabel141">
    <w:name w:val="ListLabel 141"/>
    <w:qFormat/>
    <w:rPr>
      <w:u w:val="none"/>
    </w:rPr>
  </w:style>
  <w:style w:type="character" w:customStyle="1" w:styleId="ListLabel142">
    <w:name w:val="ListLabel 142"/>
    <w:qFormat/>
    <w:rPr>
      <w:u w:val="none"/>
    </w:rPr>
  </w:style>
  <w:style w:type="character" w:customStyle="1" w:styleId="ListLabel143">
    <w:name w:val="ListLabel 143"/>
    <w:qFormat/>
    <w:rPr>
      <w:u w:val="none"/>
    </w:rPr>
  </w:style>
  <w:style w:type="character" w:customStyle="1" w:styleId="ListLabel144">
    <w:name w:val="ListLabel 144"/>
    <w:qFormat/>
    <w:rPr>
      <w:u w:val="none"/>
    </w:rPr>
  </w:style>
  <w:style w:type="character" w:customStyle="1" w:styleId="ListLabel145">
    <w:name w:val="ListLabel 145"/>
    <w:qFormat/>
    <w:rPr>
      <w:u w:val="none"/>
    </w:rPr>
  </w:style>
  <w:style w:type="character" w:customStyle="1" w:styleId="ListLabel146">
    <w:name w:val="ListLabel 146"/>
    <w:qFormat/>
    <w:rPr>
      <w:rFonts w:ascii="Times New Roman" w:hAnsi="Times New Roman"/>
      <w:b/>
      <w:sz w:val="24"/>
      <w:u w:val="none"/>
    </w:rPr>
  </w:style>
  <w:style w:type="character" w:customStyle="1" w:styleId="ListLabel147">
    <w:name w:val="ListLabel 147"/>
    <w:qFormat/>
    <w:rPr>
      <w:u w:val="none"/>
    </w:rPr>
  </w:style>
  <w:style w:type="character" w:customStyle="1" w:styleId="ListLabel148">
    <w:name w:val="ListLabel 148"/>
    <w:qFormat/>
    <w:rPr>
      <w:u w:val="none"/>
    </w:rPr>
  </w:style>
  <w:style w:type="character" w:customStyle="1" w:styleId="ListLabel149">
    <w:name w:val="ListLabel 149"/>
    <w:qFormat/>
    <w:rPr>
      <w:u w:val="none"/>
    </w:rPr>
  </w:style>
  <w:style w:type="character" w:customStyle="1" w:styleId="ListLabel150">
    <w:name w:val="ListLabel 150"/>
    <w:qFormat/>
    <w:rPr>
      <w:u w:val="none"/>
    </w:rPr>
  </w:style>
  <w:style w:type="character" w:customStyle="1" w:styleId="ListLabel151">
    <w:name w:val="ListLabel 151"/>
    <w:qFormat/>
    <w:rPr>
      <w:u w:val="none"/>
    </w:rPr>
  </w:style>
  <w:style w:type="character" w:customStyle="1" w:styleId="ListLabel152">
    <w:name w:val="ListLabel 152"/>
    <w:qFormat/>
    <w:rPr>
      <w:u w:val="none"/>
    </w:rPr>
  </w:style>
  <w:style w:type="character" w:customStyle="1" w:styleId="ListLabel153">
    <w:name w:val="ListLabel 153"/>
    <w:qFormat/>
    <w:rPr>
      <w:u w:val="none"/>
    </w:rPr>
  </w:style>
  <w:style w:type="character" w:customStyle="1" w:styleId="ListLabel154">
    <w:name w:val="ListLabel 154"/>
    <w:qFormat/>
    <w:rPr>
      <w:u w:val="none"/>
    </w:rPr>
  </w:style>
  <w:style w:type="character" w:customStyle="1" w:styleId="ListLabel155">
    <w:name w:val="ListLabel 155"/>
    <w:qFormat/>
    <w:rPr>
      <w:rFonts w:ascii="Times New Roman" w:hAnsi="Times New Roman"/>
      <w:sz w:val="24"/>
      <w:u w:val="none"/>
    </w:rPr>
  </w:style>
  <w:style w:type="character" w:customStyle="1" w:styleId="ListLabel156">
    <w:name w:val="ListLabel 156"/>
    <w:qFormat/>
    <w:rPr>
      <w:u w:val="none"/>
    </w:rPr>
  </w:style>
  <w:style w:type="character" w:customStyle="1" w:styleId="ListLabel157">
    <w:name w:val="ListLabel 157"/>
    <w:qFormat/>
    <w:rPr>
      <w:u w:val="none"/>
    </w:rPr>
  </w:style>
  <w:style w:type="character" w:customStyle="1" w:styleId="ListLabel158">
    <w:name w:val="ListLabel 158"/>
    <w:qFormat/>
    <w:rPr>
      <w:u w:val="none"/>
    </w:rPr>
  </w:style>
  <w:style w:type="character" w:customStyle="1" w:styleId="ListLabel159">
    <w:name w:val="ListLabel 159"/>
    <w:qFormat/>
    <w:rPr>
      <w:u w:val="none"/>
    </w:rPr>
  </w:style>
  <w:style w:type="character" w:customStyle="1" w:styleId="ListLabel160">
    <w:name w:val="ListLabel 160"/>
    <w:qFormat/>
    <w:rPr>
      <w:u w:val="none"/>
    </w:rPr>
  </w:style>
  <w:style w:type="character" w:customStyle="1" w:styleId="ListLabel161">
    <w:name w:val="ListLabel 161"/>
    <w:qFormat/>
    <w:rPr>
      <w:u w:val="none"/>
    </w:rPr>
  </w:style>
  <w:style w:type="character" w:customStyle="1" w:styleId="ListLabel162">
    <w:name w:val="ListLabel 162"/>
    <w:qFormat/>
    <w:rPr>
      <w:u w:val="none"/>
    </w:rPr>
  </w:style>
  <w:style w:type="character" w:customStyle="1" w:styleId="ListLabel163">
    <w:name w:val="ListLabel 163"/>
    <w:qFormat/>
    <w:rPr>
      <w:u w:val="none"/>
    </w:rPr>
  </w:style>
  <w:style w:type="character" w:customStyle="1" w:styleId="ListLabel164">
    <w:name w:val="ListLabel 164"/>
    <w:qFormat/>
    <w:rPr>
      <w:rFonts w:ascii="Times New Roman" w:hAnsi="Times New Roman"/>
      <w:sz w:val="24"/>
      <w:u w:val="none"/>
    </w:rPr>
  </w:style>
  <w:style w:type="character" w:customStyle="1" w:styleId="ListLabel165">
    <w:name w:val="ListLabel 165"/>
    <w:qFormat/>
    <w:rPr>
      <w:u w:val="none"/>
    </w:rPr>
  </w:style>
  <w:style w:type="character" w:customStyle="1" w:styleId="ListLabel166">
    <w:name w:val="ListLabel 166"/>
    <w:qFormat/>
    <w:rPr>
      <w:u w:val="none"/>
    </w:rPr>
  </w:style>
  <w:style w:type="character" w:customStyle="1" w:styleId="ListLabel167">
    <w:name w:val="ListLabel 167"/>
    <w:qFormat/>
    <w:rPr>
      <w:u w:val="none"/>
    </w:rPr>
  </w:style>
  <w:style w:type="character" w:customStyle="1" w:styleId="ListLabel168">
    <w:name w:val="ListLabel 168"/>
    <w:qFormat/>
    <w:rPr>
      <w:u w:val="none"/>
    </w:rPr>
  </w:style>
  <w:style w:type="character" w:customStyle="1" w:styleId="ListLabel169">
    <w:name w:val="ListLabel 169"/>
    <w:qFormat/>
    <w:rPr>
      <w:u w:val="none"/>
    </w:rPr>
  </w:style>
  <w:style w:type="character" w:customStyle="1" w:styleId="ListLabel170">
    <w:name w:val="ListLabel 170"/>
    <w:qFormat/>
    <w:rPr>
      <w:u w:val="none"/>
    </w:rPr>
  </w:style>
  <w:style w:type="character" w:customStyle="1" w:styleId="ListLabel171">
    <w:name w:val="ListLabel 171"/>
    <w:qFormat/>
    <w:rPr>
      <w:u w:val="none"/>
    </w:rPr>
  </w:style>
  <w:style w:type="character" w:customStyle="1" w:styleId="ListLabel172">
    <w:name w:val="ListLabel 172"/>
    <w:qFormat/>
    <w:rPr>
      <w:u w:val="none"/>
    </w:rPr>
  </w:style>
  <w:style w:type="character" w:customStyle="1" w:styleId="ListLabel173">
    <w:name w:val="ListLabel 173"/>
    <w:qFormat/>
    <w:rPr>
      <w:rFonts w:cs="Courier New"/>
    </w:rPr>
  </w:style>
  <w:style w:type="character" w:customStyle="1" w:styleId="ListLabel174">
    <w:name w:val="ListLabel 174"/>
    <w:qFormat/>
    <w:rPr>
      <w:rFonts w:cs="Courier New"/>
    </w:rPr>
  </w:style>
  <w:style w:type="character" w:customStyle="1" w:styleId="ListLabel175">
    <w:name w:val="ListLabel 175"/>
    <w:qFormat/>
    <w:rPr>
      <w:rFonts w:cs="Courier New"/>
    </w:rPr>
  </w:style>
  <w:style w:type="character" w:customStyle="1" w:styleId="ListLabel176">
    <w:name w:val="ListLabel 176"/>
    <w:qFormat/>
    <w:rPr>
      <w:rFonts w:cs="Courier New"/>
    </w:rPr>
  </w:style>
  <w:style w:type="character" w:customStyle="1" w:styleId="ListLabel177">
    <w:name w:val="ListLabel 177"/>
    <w:qFormat/>
    <w:rPr>
      <w:rFonts w:cs="Courier New"/>
    </w:rPr>
  </w:style>
  <w:style w:type="character" w:customStyle="1" w:styleId="ListLabel178">
    <w:name w:val="ListLabel 178"/>
    <w:qFormat/>
    <w:rPr>
      <w:rFonts w:cs="Courier New"/>
    </w:rPr>
  </w:style>
  <w:style w:type="character" w:customStyle="1" w:styleId="ListLabel179">
    <w:name w:val="ListLabel 179"/>
    <w:qFormat/>
    <w:rPr>
      <w:rFonts w:cs="Courier New"/>
    </w:rPr>
  </w:style>
  <w:style w:type="character" w:customStyle="1" w:styleId="ListLabel180">
    <w:name w:val="ListLabel 180"/>
    <w:qFormat/>
    <w:rPr>
      <w:rFonts w:cs="Courier New"/>
    </w:rPr>
  </w:style>
  <w:style w:type="character" w:customStyle="1" w:styleId="ListLabel181">
    <w:name w:val="ListLabel 181"/>
    <w:qFormat/>
    <w:rPr>
      <w:rFonts w:cs="Courier New"/>
    </w:rPr>
  </w:style>
  <w:style w:type="character" w:customStyle="1" w:styleId="ListLabel182">
    <w:name w:val="ListLabel 182"/>
    <w:qFormat/>
    <w:rPr>
      <w:rFonts w:cs="Courier New"/>
    </w:rPr>
  </w:style>
  <w:style w:type="character" w:customStyle="1" w:styleId="ListLabel183">
    <w:name w:val="ListLabel 183"/>
    <w:qFormat/>
    <w:rPr>
      <w:rFonts w:cs="Courier New"/>
    </w:rPr>
  </w:style>
  <w:style w:type="character" w:customStyle="1" w:styleId="ListLabel184">
    <w:name w:val="ListLabel 184"/>
    <w:qFormat/>
    <w:rPr>
      <w:rFonts w:cs="Courier New"/>
    </w:rPr>
  </w:style>
  <w:style w:type="character" w:customStyle="1" w:styleId="ListLabel185">
    <w:name w:val="ListLabel 185"/>
    <w:qFormat/>
    <w:rPr>
      <w:rFonts w:ascii="Times New Roman" w:hAnsi="Times New Roman" w:cs="Times New Roman"/>
      <w:sz w:val="24"/>
      <w:szCs w:val="24"/>
      <w:highlight w:val="white"/>
    </w:rPr>
  </w:style>
  <w:style w:type="character" w:customStyle="1" w:styleId="ListLabel186">
    <w:name w:val="ListLabel 186"/>
    <w:qFormat/>
    <w:rPr>
      <w:rFonts w:ascii="Times New Roman" w:hAnsi="Times New Roman" w:cs="Times New Roman"/>
      <w:b/>
      <w:sz w:val="24"/>
      <w:szCs w:val="24"/>
      <w:lang w:val="es-ES"/>
    </w:rPr>
  </w:style>
  <w:style w:type="character" w:customStyle="1" w:styleId="ListLabel187">
    <w:name w:val="ListLabel 187"/>
    <w:qFormat/>
    <w:rPr>
      <w:rFonts w:ascii="Times New Roman" w:hAnsi="Times New Roman" w:cs="Times New Roman"/>
      <w:sz w:val="24"/>
      <w:szCs w:val="24"/>
    </w:rPr>
  </w:style>
  <w:style w:type="character" w:customStyle="1" w:styleId="ListLabel188">
    <w:name w:val="ListLabel 188"/>
    <w:qFormat/>
    <w:rPr>
      <w:rFonts w:ascii="Times New Roman" w:hAnsi="Times New Roman" w:cs="Times New Roman"/>
      <w:sz w:val="26"/>
      <w:szCs w:val="26"/>
      <w:lang w:val="es-CO"/>
    </w:rPr>
  </w:style>
  <w:style w:type="character" w:customStyle="1" w:styleId="ListLabel189">
    <w:name w:val="ListLabel 189"/>
    <w:qFormat/>
    <w:rPr>
      <w:rFonts w:ascii="Times New Roman" w:hAnsi="Times New Roman" w:cs="Times New Roman"/>
      <w:i/>
      <w:color w:val="1155CC"/>
      <w:sz w:val="21"/>
      <w:szCs w:val="21"/>
      <w:highlight w:val="yellow"/>
    </w:rPr>
  </w:style>
  <w:style w:type="character" w:customStyle="1" w:styleId="ListLabel190">
    <w:name w:val="ListLabel 190"/>
    <w:qFormat/>
    <w:rPr>
      <w:rFonts w:ascii="Times New Roman" w:hAnsi="Times New Roman" w:cs="Times New Roman"/>
      <w:sz w:val="24"/>
      <w:szCs w:val="24"/>
      <w:u w:val="single"/>
    </w:rPr>
  </w:style>
  <w:style w:type="character" w:customStyle="1" w:styleId="ListLabel191">
    <w:name w:val="ListLabel 191"/>
    <w:qFormat/>
    <w:rPr>
      <w:rFonts w:ascii="Times New Roman" w:hAnsi="Times New Roman" w:cs="Times New Roman"/>
      <w:sz w:val="24"/>
      <w:szCs w:val="24"/>
    </w:rPr>
  </w:style>
  <w:style w:type="character" w:customStyle="1" w:styleId="ListLabel192">
    <w:name w:val="ListLabel 192"/>
    <w:qFormat/>
    <w:rPr>
      <w:rFonts w:ascii="Times New Roman" w:hAnsi="Times New Roman" w:cs="Times New Roman"/>
      <w:color w:val="1155CC"/>
      <w:sz w:val="24"/>
      <w:szCs w:val="24"/>
      <w:u w:val="single"/>
    </w:rPr>
  </w:style>
  <w:style w:type="character" w:customStyle="1" w:styleId="Caracteresdenotaalpie">
    <w:name w:val="Caracteres de nota al pie"/>
    <w:qFormat/>
  </w:style>
  <w:style w:type="character" w:customStyle="1" w:styleId="Smbolosdenumeracin">
    <w:name w:val="Símbolos de numeración"/>
    <w:qFormat/>
  </w:style>
  <w:style w:type="character" w:customStyle="1" w:styleId="Ancladenotafinal">
    <w:name w:val="Ancla de nota final"/>
    <w:rPr>
      <w:vertAlign w:val="superscript"/>
    </w:rPr>
  </w:style>
  <w:style w:type="character" w:customStyle="1" w:styleId="Caracteresdenotafinal">
    <w:name w:val="Caracteres de nota final"/>
    <w:qFormat/>
  </w:style>
  <w:style w:type="paragraph" w:styleId="Ttulo">
    <w:name w:val="Title"/>
    <w:basedOn w:val="Normal"/>
    <w:next w:val="Textoindependiente"/>
    <w:link w:val="TtuloCar"/>
    <w:qFormat/>
    <w:pPr>
      <w:keepNext/>
      <w:keepLines/>
      <w:spacing w:after="60"/>
    </w:pPr>
    <w:rPr>
      <w:sz w:val="52"/>
      <w:szCs w:val="52"/>
    </w:rPr>
  </w:style>
  <w:style w:type="paragraph" w:styleId="Textoindependiente">
    <w:name w:val="Body Text"/>
    <w:basedOn w:val="Normal"/>
    <w:link w:val="TextoindependienteCar"/>
    <w:uiPriority w:val="1"/>
    <w:qFormat/>
    <w:rsid w:val="00F05C2F"/>
    <w:pPr>
      <w:widowControl w:val="0"/>
      <w:spacing w:line="240" w:lineRule="auto"/>
    </w:pPr>
    <w:rPr>
      <w:rFonts w:ascii="Cambria" w:eastAsia="Cambria" w:hAnsi="Cambria" w:cs="Cambria"/>
      <w:b/>
      <w:bCs/>
      <w:lang w:val="es-ES" w:eastAsia="en-US"/>
    </w:rPr>
  </w:style>
  <w:style w:type="paragraph" w:styleId="Lista">
    <w:name w:val="List"/>
    <w:basedOn w:val="Textoindependiente"/>
    <w:rPr>
      <w:rFonts w:cs="Mangal"/>
    </w:rPr>
  </w:style>
  <w:style w:type="paragraph" w:styleId="Descripcin">
    <w:name w:val="caption"/>
    <w:basedOn w:val="Normal"/>
    <w:next w:val="Normal"/>
    <w:uiPriority w:val="35"/>
    <w:unhideWhenUsed/>
    <w:qFormat/>
    <w:rsid w:val="00F05C2F"/>
    <w:pPr>
      <w:spacing w:after="200" w:line="240" w:lineRule="auto"/>
    </w:pPr>
    <w:rPr>
      <w:rFonts w:ascii="Times" w:eastAsia="Cambria" w:hAnsi="Times" w:cs="Cambria"/>
      <w:b/>
      <w:bCs/>
      <w:color w:val="4F81BD"/>
      <w:sz w:val="18"/>
      <w:szCs w:val="18"/>
      <w:lang w:val="es-EC" w:eastAsia="es-ES"/>
    </w:rPr>
  </w:style>
  <w:style w:type="paragraph" w:customStyle="1" w:styleId="ndice">
    <w:name w:val="Índice"/>
    <w:basedOn w:val="Normal"/>
    <w:qFormat/>
    <w:pPr>
      <w:suppressLineNumbers/>
    </w:pPr>
    <w:rPr>
      <w:rFonts w:cs="Mangal"/>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comentario">
    <w:name w:val="annotation text"/>
    <w:basedOn w:val="Normal"/>
    <w:link w:val="TextocomentarioCar"/>
    <w:uiPriority w:val="99"/>
    <w:semiHidden/>
    <w:unhideWhenUsed/>
    <w:qFormat/>
    <w:pPr>
      <w:spacing w:line="240" w:lineRule="auto"/>
    </w:pPr>
    <w:rPr>
      <w:sz w:val="20"/>
      <w:szCs w:val="20"/>
    </w:rPr>
  </w:style>
  <w:style w:type="paragraph" w:styleId="Prrafodelista">
    <w:name w:val="List Paragraph"/>
    <w:basedOn w:val="Normal"/>
    <w:link w:val="PrrafodelistaCar"/>
    <w:uiPriority w:val="34"/>
    <w:qFormat/>
    <w:rsid w:val="00430BDB"/>
    <w:pPr>
      <w:spacing w:line="240" w:lineRule="auto"/>
      <w:ind w:left="720"/>
      <w:contextualSpacing/>
    </w:pPr>
    <w:rPr>
      <w:rFonts w:ascii="Times New Roman" w:eastAsia="Cambria" w:hAnsi="Times New Roman" w:cs="Times New Roman"/>
      <w:sz w:val="20"/>
      <w:lang w:val="es-EC" w:eastAsia="en-US"/>
    </w:rPr>
  </w:style>
  <w:style w:type="paragraph" w:styleId="Textonotapie">
    <w:name w:val="footnote text"/>
    <w:basedOn w:val="Normal"/>
    <w:link w:val="TextonotapieCar"/>
    <w:uiPriority w:val="99"/>
    <w:unhideWhenUsed/>
    <w:rsid w:val="00430BDB"/>
    <w:pPr>
      <w:spacing w:line="240" w:lineRule="auto"/>
    </w:pPr>
    <w:rPr>
      <w:rFonts w:ascii="Times New Roman" w:eastAsia="Cambria" w:hAnsi="Times New Roman" w:cs="Times New Roman"/>
      <w:sz w:val="20"/>
      <w:szCs w:val="20"/>
      <w:lang w:val="es-EC" w:eastAsia="en-US"/>
    </w:rPr>
  </w:style>
  <w:style w:type="paragraph" w:customStyle="1" w:styleId="Cuerpo">
    <w:name w:val="Cuerpo"/>
    <w:qFormat/>
    <w:rsid w:val="00677E33"/>
    <w:pPr>
      <w:spacing w:line="360" w:lineRule="auto"/>
      <w:jc w:val="both"/>
    </w:pPr>
    <w:rPr>
      <w:rFonts w:ascii="Baskerville" w:eastAsia="Arial Unicode MS" w:hAnsi="Baskerville" w:cs="Arial Unicode MS"/>
      <w:color w:val="000000"/>
      <w:sz w:val="22"/>
      <w:szCs w:val="24"/>
      <w:u w:color="000000"/>
      <w:lang w:val="es-ES_tradnl" w:eastAsia="es-ES_tradnl"/>
    </w:rPr>
  </w:style>
  <w:style w:type="paragraph" w:styleId="Textodeglobo">
    <w:name w:val="Balloon Text"/>
    <w:basedOn w:val="Normal"/>
    <w:link w:val="TextodegloboCar"/>
    <w:uiPriority w:val="99"/>
    <w:semiHidden/>
    <w:unhideWhenUsed/>
    <w:qFormat/>
    <w:rsid w:val="00F05C2F"/>
    <w:pPr>
      <w:spacing w:line="240" w:lineRule="auto"/>
    </w:pPr>
    <w:rPr>
      <w:rFonts w:ascii="Lucida Grande" w:eastAsia="Cambria" w:hAnsi="Lucida Grande" w:cs="Lucida Grande"/>
      <w:sz w:val="18"/>
      <w:szCs w:val="18"/>
      <w:lang w:val="es-ES_tradnl" w:eastAsia="es-ES"/>
    </w:rPr>
  </w:style>
  <w:style w:type="paragraph" w:styleId="Bibliografa">
    <w:name w:val="Bibliography"/>
    <w:basedOn w:val="Normal"/>
    <w:next w:val="Normal"/>
    <w:uiPriority w:val="37"/>
    <w:unhideWhenUsed/>
    <w:qFormat/>
    <w:rsid w:val="00F05C2F"/>
    <w:pPr>
      <w:spacing w:line="240" w:lineRule="auto"/>
    </w:pPr>
    <w:rPr>
      <w:rFonts w:ascii="Times" w:eastAsia="Cambria" w:hAnsi="Times" w:cs="Cambria"/>
      <w:sz w:val="20"/>
      <w:szCs w:val="20"/>
      <w:lang w:val="es-EC" w:eastAsia="es-ES"/>
    </w:rPr>
  </w:style>
  <w:style w:type="paragraph" w:customStyle="1" w:styleId="CuerpoA">
    <w:name w:val="Cuerpo A"/>
    <w:qFormat/>
    <w:rsid w:val="00F05C2F"/>
    <w:rPr>
      <w:rFonts w:ascii="Calibri" w:eastAsia="Calibri" w:hAnsi="Calibri" w:cs="Calibri"/>
      <w:color w:val="000000"/>
      <w:sz w:val="22"/>
      <w:szCs w:val="22"/>
      <w:u w:color="000000"/>
      <w:lang w:val="nl-NL" w:eastAsia="es-ES_tradnl"/>
    </w:rPr>
  </w:style>
  <w:style w:type="paragraph" w:customStyle="1" w:styleId="Normal1">
    <w:name w:val="Normal1"/>
    <w:qFormat/>
    <w:rsid w:val="00F05C2F"/>
    <w:pPr>
      <w:suppressAutoHyphens/>
    </w:pPr>
    <w:rPr>
      <w:color w:val="000000"/>
      <w:sz w:val="22"/>
      <w:szCs w:val="22"/>
      <w:lang w:val="es-ES" w:eastAsia="en-US"/>
    </w:rPr>
  </w:style>
  <w:style w:type="paragraph" w:customStyle="1" w:styleId="Contenidodelmarco">
    <w:name w:val="Contenido del marco"/>
    <w:basedOn w:val="Normal"/>
    <w:qFormat/>
  </w:style>
  <w:style w:type="paragraph" w:styleId="Piedepgina">
    <w:name w:val="footer"/>
    <w:basedOn w:val="Normal"/>
  </w:style>
  <w:style w:type="table" w:customStyle="1" w:styleId="TableNormal">
    <w:name w:val="Table Normal"/>
    <w:rPr>
      <w:sz w:val="22"/>
      <w:szCs w:val="22"/>
      <w:lang w:val="es-419"/>
    </w:rPr>
    <w:tblPr>
      <w:tblCellMar>
        <w:top w:w="0" w:type="dxa"/>
        <w:left w:w="0" w:type="dxa"/>
        <w:bottom w:w="0" w:type="dxa"/>
        <w:right w:w="0" w:type="dxa"/>
      </w:tblCellMar>
    </w:tblPr>
  </w:style>
  <w:style w:type="table" w:styleId="Tablaconcuadrcula">
    <w:name w:val="Table Grid"/>
    <w:basedOn w:val="Tablanormal"/>
    <w:uiPriority w:val="59"/>
    <w:rsid w:val="00F05C2F"/>
    <w:rPr>
      <w:rFonts w:ascii="Cambria" w:eastAsia="Cambria" w:hAnsi="Cambria" w:cs="Cambr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vistosa">
    <w:name w:val="Colorful List"/>
    <w:basedOn w:val="Tablanormal"/>
    <w:uiPriority w:val="72"/>
    <w:rsid w:val="00F05C2F"/>
    <w:rPr>
      <w:rFonts w:ascii="Cambria" w:eastAsia="Cambria" w:hAnsi="Cambria" w:cs="Cambria"/>
      <w:color w:val="000000"/>
      <w:lang w:val="es-EC"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paragraph" w:styleId="Encabezado">
    <w:name w:val="header"/>
    <w:basedOn w:val="Normal"/>
    <w:link w:val="EncabezadoCar"/>
    <w:uiPriority w:val="99"/>
    <w:unhideWhenUsed/>
    <w:rsid w:val="008C36D1"/>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8C36D1"/>
  </w:style>
  <w:style w:type="paragraph" w:customStyle="1" w:styleId="Predeterminado">
    <w:name w:val="Predeterminado"/>
    <w:rsid w:val="00187432"/>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lang w:val="es-ES_tradnl" w:eastAsia="es-EC"/>
    </w:rPr>
  </w:style>
  <w:style w:type="numbering" w:customStyle="1" w:styleId="Nmero">
    <w:name w:val="Número"/>
    <w:rsid w:val="00187432"/>
    <w:pPr>
      <w:numPr>
        <w:numId w:val="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7303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 /><Relationship Id="rId18" Type="http://schemas.openxmlformats.org/officeDocument/2006/relationships/image" Target="media/image5.png" /><Relationship Id="rId26" Type="http://schemas.openxmlformats.org/officeDocument/2006/relationships/image" Target="media/image11.png" /><Relationship Id="rId39" Type="http://schemas.openxmlformats.org/officeDocument/2006/relationships/hyperlink" Target="https://www.youtube.com/watch?v=_-Dzqc1Bjjo" TargetMode="External" /><Relationship Id="rId21" Type="http://schemas.openxmlformats.org/officeDocument/2006/relationships/image" Target="media/image7.wmf" /><Relationship Id="rId34" Type="http://schemas.openxmlformats.org/officeDocument/2006/relationships/image" Target="media/image19.png" /><Relationship Id="rId42" Type="http://schemas.openxmlformats.org/officeDocument/2006/relationships/image" Target="media/image22.png" /><Relationship Id="rId47" Type="http://schemas.openxmlformats.org/officeDocument/2006/relationships/header" Target="header4.xml" /><Relationship Id="rId50" Type="http://schemas.openxmlformats.org/officeDocument/2006/relationships/header" Target="header6.xml" /><Relationship Id="rId55" Type="http://schemas.openxmlformats.org/officeDocument/2006/relationships/fontTable" Target="fontTable.xml" /><Relationship Id="rId7" Type="http://schemas.openxmlformats.org/officeDocument/2006/relationships/endnotes" Target="endnotes.xml" /><Relationship Id="rId12" Type="http://schemas.openxmlformats.org/officeDocument/2006/relationships/footer" Target="footer2.xml" /><Relationship Id="rId17" Type="http://schemas.openxmlformats.org/officeDocument/2006/relationships/image" Target="media/image4.png" /><Relationship Id="rId25" Type="http://schemas.openxmlformats.org/officeDocument/2006/relationships/hyperlink" Target="https://www.banisipma.com/wp-content/uploads/2021/03/Informe-Banisi-S-A-Febrero-2021-.pdf" TargetMode="External" /><Relationship Id="rId33" Type="http://schemas.openxmlformats.org/officeDocument/2006/relationships/image" Target="media/image18.png" /><Relationship Id="rId38" Type="http://schemas.openxmlformats.org/officeDocument/2006/relationships/hyperlink" Target="https://www.youtube.com/watch?v=oH2kEX5YFYs" TargetMode="External" /><Relationship Id="rId46" Type="http://schemas.openxmlformats.org/officeDocument/2006/relationships/image" Target="media/image24.png" /><Relationship Id="rId2" Type="http://schemas.openxmlformats.org/officeDocument/2006/relationships/numbering" Target="numbering.xml" /><Relationship Id="rId16" Type="http://schemas.openxmlformats.org/officeDocument/2006/relationships/image" Target="media/image3.png" /><Relationship Id="rId20" Type="http://schemas.openxmlformats.org/officeDocument/2006/relationships/oleObject" Target="embeddings/oleObject1.bin" /><Relationship Id="rId29" Type="http://schemas.openxmlformats.org/officeDocument/2006/relationships/image" Target="media/image14.png" /><Relationship Id="rId41" Type="http://schemas.openxmlformats.org/officeDocument/2006/relationships/hyperlink" Target="https://www.bancoguayaquil.com/conocenos" TargetMode="External" /><Relationship Id="rId54" Type="http://schemas.openxmlformats.org/officeDocument/2006/relationships/header" Target="header9.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1.xml" /><Relationship Id="rId24" Type="http://schemas.openxmlformats.org/officeDocument/2006/relationships/image" Target="media/image10.png" /><Relationship Id="rId32" Type="http://schemas.openxmlformats.org/officeDocument/2006/relationships/image" Target="media/image17.png" /><Relationship Id="rId37" Type="http://schemas.openxmlformats.org/officeDocument/2006/relationships/hyperlink" Target="https://www.youtube.com/watch?v=xgniOfRcpKw" TargetMode="External" /><Relationship Id="rId40" Type="http://schemas.openxmlformats.org/officeDocument/2006/relationships/image" Target="media/image21.png" /><Relationship Id="rId45" Type="http://schemas.openxmlformats.org/officeDocument/2006/relationships/hyperlink" Target="https://www.superbancos.gob.pa/superbancos/documentos/informacion_general_bancos/generales_de_bancos/Generales-de-Bancos-en-Banisi.pdf" TargetMode="External" /><Relationship Id="rId53" Type="http://schemas.openxmlformats.org/officeDocument/2006/relationships/footer" Target="footer5.xml" /><Relationship Id="rId5" Type="http://schemas.openxmlformats.org/officeDocument/2006/relationships/webSettings" Target="webSettings.xml" /><Relationship Id="rId15" Type="http://schemas.openxmlformats.org/officeDocument/2006/relationships/image" Target="media/image2.tiff" /><Relationship Id="rId23" Type="http://schemas.openxmlformats.org/officeDocument/2006/relationships/image" Target="media/image9.png" /><Relationship Id="rId28" Type="http://schemas.openxmlformats.org/officeDocument/2006/relationships/image" Target="media/image13.png" /><Relationship Id="rId36" Type="http://schemas.openxmlformats.org/officeDocument/2006/relationships/hyperlink" Target="http://www.icij.org/" TargetMode="External" /><Relationship Id="rId49" Type="http://schemas.openxmlformats.org/officeDocument/2006/relationships/footer" Target="footer4.xml" /><Relationship Id="rId10" Type="http://schemas.openxmlformats.org/officeDocument/2006/relationships/header" Target="header2.xml" /><Relationship Id="rId19" Type="http://schemas.openxmlformats.org/officeDocument/2006/relationships/image" Target="media/image6.emf" /><Relationship Id="rId31" Type="http://schemas.openxmlformats.org/officeDocument/2006/relationships/image" Target="media/image16.png" /><Relationship Id="rId44" Type="http://schemas.openxmlformats.org/officeDocument/2006/relationships/image" Target="media/image23.png" /><Relationship Id="rId52" Type="http://schemas.openxmlformats.org/officeDocument/2006/relationships/header" Target="header8.xml" /><Relationship Id="rId4" Type="http://schemas.openxmlformats.org/officeDocument/2006/relationships/settings" Target="settings.xml" /><Relationship Id="rId9" Type="http://schemas.openxmlformats.org/officeDocument/2006/relationships/header" Target="header1.xml" /><Relationship Id="rId14" Type="http://schemas.openxmlformats.org/officeDocument/2006/relationships/footer" Target="footer3.xml" /><Relationship Id="rId22" Type="http://schemas.openxmlformats.org/officeDocument/2006/relationships/image" Target="media/image8.png" /><Relationship Id="rId27" Type="http://schemas.openxmlformats.org/officeDocument/2006/relationships/image" Target="media/image12.png" /><Relationship Id="rId30" Type="http://schemas.openxmlformats.org/officeDocument/2006/relationships/image" Target="media/image15.png" /><Relationship Id="rId35" Type="http://schemas.openxmlformats.org/officeDocument/2006/relationships/image" Target="media/image20.png" /><Relationship Id="rId43" Type="http://schemas.openxmlformats.org/officeDocument/2006/relationships/hyperlink" Target="https://web.archive.org/web/20060901233001/http:/www.bancoguayaquil.com:80/grupo_financiero/bank_trust/index.asp" TargetMode="External" /><Relationship Id="rId48" Type="http://schemas.openxmlformats.org/officeDocument/2006/relationships/header" Target="header5.xml" /><Relationship Id="rId56" Type="http://schemas.openxmlformats.org/officeDocument/2006/relationships/theme" Target="theme/theme1.xml" /><Relationship Id="rId8" Type="http://schemas.openxmlformats.org/officeDocument/2006/relationships/hyperlink" Target="https://www.pagina12.com.ar/28514-las-mamushkas-financieras-de-lasso" TargetMode="External" /><Relationship Id="rId51" Type="http://schemas.openxmlformats.org/officeDocument/2006/relationships/header" Target="header7.xml" /><Relationship Id="rId3" Type="http://schemas.openxmlformats.org/officeDocument/2006/relationships/styles" Target="styles.xml" /></Relationships>
</file>

<file path=word/_rels/footnotes.xml.rels><?xml version="1.0" encoding="UTF-8" standalone="yes"?>
<Relationships xmlns="http://schemas.openxmlformats.org/package/2006/relationships"><Relationship Id="rId8" Type="http://schemas.openxmlformats.org/officeDocument/2006/relationships/hyperlink" Target="http://www.icij.org/" TargetMode="External" /><Relationship Id="rId3" Type="http://schemas.openxmlformats.org/officeDocument/2006/relationships/hyperlink" Target="https://www.banisipanama.com/nuestra-historia/" TargetMode="External" /><Relationship Id="rId7" Type="http://schemas.openxmlformats.org/officeDocument/2006/relationships/hyperlink" Target="http://www.icij.org/" TargetMode="External" /><Relationship Id="rId2" Type="http://schemas.openxmlformats.org/officeDocument/2006/relationships/hyperlink" Target="https://www.sri.gob.ec/o/sri-portlet-biblioteca-alfresco-internet/descargar/81af3b2a-88b0-4fa5-9b5b-6b7d65c4c6b4/Conformaci&#243;n%20de%20los%20Grupos%20Econ&#243;micos%20y%20su%20Comportamiento%20Tributario.xlsx" TargetMode="External" /><Relationship Id="rId1" Type="http://schemas.openxmlformats.org/officeDocument/2006/relationships/hyperlink" Target="https://therealdeal.com/miami/2021/10/04/ecuadorian-president-linked-to-us-real-estate-named-in-pandora-papers/" TargetMode="External" /><Relationship Id="rId6" Type="http://schemas.openxmlformats.org/officeDocument/2006/relationships/hyperlink" Target="http://www.icij.org/" TargetMode="External" /><Relationship Id="rId5" Type="http://schemas.openxmlformats.org/officeDocument/2006/relationships/hyperlink" Target="http://www.icij.org/" TargetMode="External" /><Relationship Id="rId4" Type="http://schemas.openxmlformats.org/officeDocument/2006/relationships/hyperlink" Target="http://www.icij.org/" TargetMode="External" /><Relationship Id="rId9" Type="http://schemas.openxmlformats.org/officeDocument/2006/relationships/hyperlink" Target="https://docs.google.com/document/d/1tRf_OvlJj2aWEwGsetCLlVGsk--_Nk5tyVS1fPAN0Wc/edit" TargetMode="External" /></Relationships>
</file>

<file path=word/_rels/header2.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CHICAGO.XSL" StyleName="Chicago" Version="">
  <b:Source>
    <b:Tag>SRI211</b:Tag>
    <b:SourceType>DocumentFromInternetSite</b:SourceType>
    <b:Guid>{5F3AF5C4-8E0C-EB43-B806-EEFB269D566C}</b:Guid>
    <b:Title>Grupos Económicos y su relación con los paraísos fiscales y los Panamá Papers</b:Title>
    <b:Year>2021</b:Year>
    <b:Author>
      <b:Author>
        <b:Corporate>SRI</b:Corporate>
      </b:Author>
    </b:Author>
    <b:InternetSiteTitle>SRI Grupos Económicos</b:InternetSiteTitle>
    <b:URL>https://www.sri.gob.ec/grupos-economicos1</b:URL>
    <b:Month>sept</b:Month>
    <b:YearAccessed>2021</b:YearAccessed>
    <b:MonthAccessed>oct</b:MonthAccessed>
    <b:DayAccessed>30</b:DayAccessed>
    <b:RefOrder>1</b:RefOrder>
  </b:Source>
  <b:Source>
    <b:Tag>COR111</b:Tag>
    <b:SourceType>Report</b:SourceType>
    <b:Guid>{50FC990B-0D9C-914D-91B5-DB51C8D65709}</b:Guid>
    <b:Author>
      <b:Author>
        <b:Corporate>CORPORACION MULTIBG S.A.</b:Corporate>
      </b:Author>
    </b:Author>
    <b:Title>Informe a la Junta General de Accionistas del Banco de Guayaquil</b:Title>
    <b:Year>2011</b:Year>
    <b:Institution>Banco de Guayaquil</b:Institution>
    <b:City>Guayaquil</b:City>
    <b:ThesisType>Informe</b:ThesisType>
    <b:RefOrder>2</b:RefOrder>
  </b:Source>
  <b:Source>
    <b:Tag>Sup212</b:Tag>
    <b:SourceType>DocumentFromInternetSite</b:SourceType>
    <b:Guid>{3F7B5C4E-53BF-A84A-80F3-D60E291E37FB}</b:Guid>
    <b:Title>Boletín Financiero Mensuales</b:Title>
    <b:Year>2021</b:Year>
    <b:Author>
      <b:Author>
        <b:Corporate>Superintendencia de Bancos</b:Corporate>
      </b:Author>
    </b:Author>
    <b:InternetSiteTitle>Portal Estadístico Superintendencia de Bancos</b:InternetSiteTitle>
    <b:URL>https://estadisticas.superbancos.gob.ec/portalestadistico/portalestudios/?page_id=329</b:URL>
    <b:Month>sept</b:Month>
    <b:YearAccessed>2021</b:YearAccessed>
    <b:MonthAccessed>oct</b:MonthAccessed>
    <b:DayAccessed>30</b:DayAccessed>
    <b:RefOrder>3</b:RefOrder>
  </b:Source>
  <b:Source>
    <b:Tag>Sup213</b:Tag>
    <b:SourceType>Report</b:SourceType>
    <b:Guid>{2E521271-542D-D14E-BD39-0957FD7D84F0}</b:Guid>
    <b:Title>Archivo Digital Societario Corporación MULTIBG S.A.</b:Title>
    <b:Year>2021</b:Year>
    <b:Author>
      <b:Author>
        <b:Corporate>Superintendencia de Compañías</b:Corporate>
      </b:Author>
    </b:Author>
    <b:Publisher>Superintendencia de Compañías</b:Publisher>
    <b:City>Quito</b:City>
    <b:ThesisType>Archivo Digital</b:ThesisType>
    <b:RefOrder>4</b:RefOrder>
  </b:Source>
  <b:Source>
    <b:Tag>Not81</b:Tag>
    <b:SourceType>Report</b:SourceType>
    <b:Guid>{09306C5A-5BA4-8640-BB7F-B17335BD247D}</b:Guid>
    <b:Author>
      <b:Author>
        <b:Corporate>Notaría 27</b:Corporate>
      </b:Author>
    </b:Author>
    <b:Title>Contrato de Constitución de la Compañía anónima denominada "FIDUCIASUR S.A."</b:Title>
    <b:Institution>Notaría 27</b:Institution>
    <b:City>Guayaquil</b:City>
    <b:ThesisType>Minuta</b:ThesisType>
    <b:Year>1981</b:Year>
    <b:RefOrder>5</b:RefOrder>
  </b:Source>
  <b:Source>
    <b:Tag>Not86</b:Tag>
    <b:SourceType>Report</b:SourceType>
    <b:Guid>{F7919268-6EC8-D148-A805-5BAE0D824D44}</b:Guid>
    <b:Author>
      <b:Author>
        <b:Corporate>Notaría 30</b:Corporate>
      </b:Author>
    </b:Author>
    <b:Title>Aumento de capital y codificación integral de los estatutos de la Compañía "FIDUCIASUR S.A."</b:Title>
    <b:City>Guayaquil</b:City>
    <b:ThesisType>Minuta</b:ThesisType>
    <b:Year>1986</b:Year>
    <b:RefOrder>6</b:RefOrder>
  </b:Source>
  <b:Source>
    <b:Tag>Not89</b:Tag>
    <b:SourceType>Report</b:SourceType>
    <b:Guid>{43F08472-D7E9-904E-BF17-A6FBCFEF0400}</b:Guid>
    <b:Author>
      <b:Author>
        <b:Corporate>Notaría 30</b:Corporate>
      </b:Author>
    </b:Author>
    <b:Title>Aumento de capital y reforma de estatutos de la Compañía FIDUCIASUR S.A.</b:Title>
    <b:Publisher>Notaría 30</b:Publisher>
    <b:City>Guayaquil</b:City>
    <b:ThesisType>Minuta</b:ThesisType>
    <b:Year>1989</b:Year>
    <b:RefOrder>7</b:RefOrder>
  </b:Source>
  <b:Source>
    <b:Tag>Not92</b:Tag>
    <b:SourceType>Report</b:SourceType>
    <b:Guid>{85B7B19B-DDA3-0549-B484-7084C121B1FA}</b:Guid>
    <b:Author>
      <b:Author>
        <b:Corporate>Notaría 13</b:Corporate>
      </b:Author>
    </b:Author>
    <b:Title>Fusión por absorción que celebran las compañías Fiduciasur S.A., CREDICORP S.A., MEGACORP S.A., e ICENTRO Inversiones del Centro, reforma integral y codificación del estatuto social, aumento de capital y cambio de denominación de la compañía fiduciasur S.A. por la de Corporación MULTIBG S.A.</b:Title>
    <b:Publisher>Notaría 13</b:Publisher>
    <b:City>Guayaquil</b:City>
    <b:ThesisType>Minuta</b:ThesisType>
    <b:Year>1992</b:Year>
    <b:RefOrder>8</b:RefOrder>
  </b:Source>
  <b:Source>
    <b:Tag>Not94</b:Tag>
    <b:SourceType>Report</b:SourceType>
    <b:Guid>{9AF4E2B5-68E0-AB4C-97C9-3706B42310F9}</b:Guid>
    <b:Author>
      <b:Author>
        <b:Corporate>Notaría 2</b:Corporate>
      </b:Author>
    </b:Author>
    <b:Title>Aumento de capital y reforma de estatutos de la Corporación MULTIBG S.A.</b:Title>
    <b:Publisher>Notaría 2</b:Publisher>
    <b:City>Guayaquil</b:City>
    <b:ThesisType>Minuta</b:ThesisType>
    <b:Year>1994</b:Year>
    <b:RefOrder>9</b:RefOrder>
  </b:Source>
  <b:Source>
    <b:Tag>Not01</b:Tag>
    <b:SourceType>Report</b:SourceType>
    <b:Guid>{42B434D2-1308-CF42-88D4-93E8BAC0C3A0}</b:Guid>
    <b:Author>
      <b:Author>
        <b:Corporate>Notaría 35</b:Corporate>
      </b:Author>
    </b:Author>
    <b:Title>Escritura 0961. Conversión de sucres a dólares y reforma de estatutos de la Corporación MULTIBG S.A.</b:Title>
    <b:Publisher>Notaría 35</b:Publisher>
    <b:City>Guayaquil</b:City>
    <b:ThesisType>Escritura Pública</b:ThesisType>
    <b:Year>2001</b:Year>
    <b:RefOrder>10</b:RefOrder>
  </b:Source>
  <b:Source>
    <b:Tag>Not02</b:Tag>
    <b:SourceType>Report</b:SourceType>
    <b:Guid>{41434241-5871-D348-87DF-8AA50FC6093E}</b:Guid>
    <b:Author>
      <b:Author>
        <b:Corporate>Notaría 35</b:Corporate>
      </b:Author>
    </b:Author>
    <b:Title>Escritura 1122 Aumento de capital, fijación del capital autorizado y reforma del estatuto social de la compañía Corporación MULTIBG S.A.</b:Title>
    <b:City>Guayaquil</b:City>
    <b:ThesisType>Escritura Pública</b:ThesisType>
    <b:Year>2002</b:Year>
    <b:RefOrder>11</b:RefOrder>
  </b:Source>
  <b:Source>
    <b:Tag>Not05</b:Tag>
    <b:SourceType>Report</b:SourceType>
    <b:Guid>{EDE074E4-4123-F848-823E-F092663B66DD}</b:Guid>
    <b:Author>
      <b:Author>
        <b:Corporate>Notaría 35</b:Corporate>
      </b:Author>
    </b:Author>
    <b:Title>Escritura 2926</b:Title>
    <b:Institution>Aumento de capital y reforma del estatuto social de la compañía Corporación MULTIBG S.A.</b:Institution>
    <b:Publisher>Notaría 35</b:Publisher>
    <b:City>Guayaquil</b:City>
    <b:ThesisType>Escritura Pública</b:ThesisType>
    <b:Year>2005</b:Year>
    <b:RefOrder>12</b:RefOrder>
  </b:Source>
  <b:Source>
    <b:Tag>COR21</b:Tag>
    <b:SourceType>Report</b:SourceType>
    <b:Guid>{C47C1572-E137-7F4D-86EA-60C863F1436C}</b:Guid>
    <b:Author>
      <b:Author>
        <b:Corporate>CORPORACIÓN MULTIBG S.A.</b:Corporate>
      </b:Author>
    </b:Author>
    <b:Title>Acta de la Junta General Ordinaria de Accionistas de la Compañía Corporación MULTIBG S.A.</b:Title>
    <b:Publisher>Corporación MULTIBG</b:Publisher>
    <b:City>Guayaquil</b:City>
    <b:ThesisType>Acta</b:ThesisType>
    <b:Year>2021</b:Year>
    <b:Comments>
		</b:Comments>
    <b:RefOrder>13</b:RefOrder>
  </b:Source>
  <b:Source>
    <b:Tag>COR13</b:Tag>
    <b:SourceType>Report</b:SourceType>
    <b:Guid>{F2A74C17-3B1F-564A-9974-F92CE71A7FCF}</b:Guid>
    <b:Author>
      <b:Author>
        <b:Corporate>CORPORACION MULTIBG S.A.</b:Corporate>
      </b:Author>
    </b:Author>
    <b:Title>Acta de la Junta General Ordinaria de Accionistas de la Compañía Corporación MULTIBG S.A. celebrada el 4 de abril de 2013</b:Title>
    <b:Publisher>Corporación MULTIBG S.A.</b:Publisher>
    <b:City>Guayaquil</b:City>
    <b:ThesisType>ACTA</b:ThesisType>
    <b:Year>2013</b:Year>
    <b:RefOrder>14</b:RefOrder>
  </b:Source>
  <b:Source>
    <b:Tag>COR14</b:Tag>
    <b:SourceType>Report</b:SourceType>
    <b:Guid>{A098721B-CD68-8448-BAC9-000649AD2DEF}</b:Guid>
    <b:Author>
      <b:Author>
        <b:Corporate>CORPORACION MULTIBG S.A.</b:Corporate>
      </b:Author>
    </b:Author>
    <b:Title>Acta de la Junta General Ordinaria de Accionistas de la Compañía Corporación MULTIBG S.A. celebrada el 30 de enero de 2014 </b:Title>
    <b:Publisher>Corporación MULTIBG S.A.</b:Publisher>
    <b:City>Guayaquil</b:City>
    <b:ThesisType>Acta</b:ThesisType>
    <b:Year>2014</b:Year>
    <b:RefOrder>15</b:RefOrder>
  </b:Source>
  <b:Source>
    <b:Tag>COR15</b:Tag>
    <b:SourceType>Report</b:SourceType>
    <b:Guid>{098A67E1-6EA8-F243-8E4E-287EFF8102BB}</b:Guid>
    <b:Author>
      <b:Author>
        <b:Corporate>CORPORACION MULTIBG S.A.</b:Corporate>
      </b:Author>
    </b:Author>
    <b:Title>Acta de la Junta General Ordinaria de Accionistas de la Compañía Corporación MULTIBG S.A. celebrada el 5 de febrero de 2015 </b:Title>
    <b:Publisher>Corporación MULTIBG S.A.</b:Publisher>
    <b:City>Guayaquil</b:City>
    <b:ThesisType>Acta</b:ThesisType>
    <b:Year>2015</b:Year>
    <b:RefOrder>16</b:RefOrder>
  </b:Source>
  <b:Source>
    <b:Tag>COR16</b:Tag>
    <b:SourceType>Report</b:SourceType>
    <b:Guid>{33B0DE12-1A55-6140-9AC9-544C8B608ADB}</b:Guid>
    <b:Author>
      <b:Author>
        <b:Corporate>CORPORACION MULTIBG S.A.</b:Corporate>
      </b:Author>
    </b:Author>
    <b:Title>Acta de la Junta General Ordinaria de Accionistas de la Compañía Corporación MULTIBG S.A. celebrada el 4 de febrero de 2016 </b:Title>
    <b:Publisher>Corporación MULTIBG S.A.</b:Publisher>
    <b:City>Guayaquil</b:City>
    <b:ThesisType>Acta</b:ThesisType>
    <b:Year>2016</b:Year>
    <b:RefOrder>17</b:RefOrder>
  </b:Source>
  <b:Source>
    <b:Tag>COR17</b:Tag>
    <b:SourceType>Report</b:SourceType>
    <b:Guid>{C2D42780-CB90-134F-865D-FDBECEDD39FA}</b:Guid>
    <b:Author>
      <b:Author>
        <b:Corporate>CORPORACION MULTIBG S.A.</b:Corporate>
      </b:Author>
    </b:Author>
    <b:Title>Acta de la Junta General Ordinaria de Accionistas de la Compañía Corporación MULTIBG S.A. celebrada el 7 de febrero de 2017 </b:Title>
    <b:Publisher>Corporación MULTIBG S.A.</b:Publisher>
    <b:City>Guayaquil</b:City>
    <b:ThesisType>Acta</b:ThesisType>
    <b:Year>2017</b:Year>
    <b:RefOrder>18</b:RefOrder>
  </b:Source>
  <b:Source>
    <b:Tag>COR18</b:Tag>
    <b:SourceType>Report</b:SourceType>
    <b:Guid>{76BDDC1C-A788-FC40-AADE-C4AD95988967}</b:Guid>
    <b:Author>
      <b:Author>
        <b:Corporate>CORPORACION MULTIBG S.A.</b:Corporate>
      </b:Author>
    </b:Author>
    <b:Title>Acta de la Junta General Ordinaria de Accionistas de la Compañía Corporación MULTIBG S.A. celebrada el 20 de febrero de 2018 </b:Title>
    <b:Publisher>Corporación MULTIBG S.A.</b:Publisher>
    <b:City>Guayaquil</b:City>
    <b:ThesisType>Acta</b:ThesisType>
    <b:Year>2018</b:Year>
    <b:RefOrder>19</b:RefOrder>
  </b:Source>
  <b:Source>
    <b:Tag>COR19</b:Tag>
    <b:SourceType>Report</b:SourceType>
    <b:Guid>{F3EADE95-EFC8-1F43-89D9-FD28C31F4CF1}</b:Guid>
    <b:Author>
      <b:Author>
        <b:Corporate>CORPORACION MULTIBG S.A.</b:Corporate>
      </b:Author>
    </b:Author>
    <b:Title>Acta de la Junta General Ordinaria de Accionistas de la Compañía Corporación MULTIBG S.A. celebrada el 5 de febrero de 2019 </b:Title>
    <b:Publisher>Corporación MULTIBG S.A.</b:Publisher>
    <b:City>Guayaquil</b:City>
    <b:ThesisType>Acta</b:ThesisType>
    <b:Year>2019</b:Year>
    <b:RefOrder>20</b:RefOrder>
  </b:Source>
  <b:Source>
    <b:Tag>COR20</b:Tag>
    <b:SourceType>Report</b:SourceType>
    <b:Guid>{D247DCFD-A8BA-294E-BED8-B53854C5C9E4}</b:Guid>
    <b:Author>
      <b:Author>
        <b:Corporate>CORPORACION MULTIBG S.A.</b:Corporate>
      </b:Author>
    </b:Author>
    <b:Title>Acta de la Junta General Ordinaria de Accionistas de la Compañía Corporación MULTIBG S.A. celebrada el 4 de febrero de 2020</b:Title>
    <b:Publisher>Corporación MULTIBG S.A.</b:Publisher>
    <b:City>Guayaquil</b:City>
    <b:ThesisType>Acta</b:ThesisType>
    <b:Year>2020</b:Year>
    <b:RefOrder>21</b:RefOrder>
  </b:Source>
  <b:Source>
    <b:Tag>COR211</b:Tag>
    <b:SourceType>Report</b:SourceType>
    <b:Guid>{5555B1DB-BD32-1144-8B00-7645B3A45D49}</b:Guid>
    <b:Author>
      <b:Author>
        <b:Corporate>CORPORACION MULTIBG S.A.</b:Corporate>
      </b:Author>
    </b:Author>
    <b:Title>Acta de la Junta General Ordinaria de Accionistas de la Compañía Corporación MULTIBG S.A. celebrada el 18 de febrero de 2021  </b:Title>
    <b:Publisher>Corporación MULTIBG S.A.</b:Publisher>
    <b:City>Guayaquil</b:City>
    <b:ThesisType>Acta</b:ThesisType>
    <b:Year>2021</b:Year>
    <b:RefOrder>22</b:RefOrder>
  </b:Source>
  <b:Source>
    <b:Tag>Not20</b:Tag>
    <b:SourceType>Report</b:SourceType>
    <b:Guid>{AD95D8DF-5CC2-3C4D-A8F7-188E1F06CEA4}</b:Guid>
    <b:Author>
      <b:Author>
        <b:Corporate>Notaría novena circuito de Panamá</b:Corporate>
      </b:Author>
    </b:Author>
    <b:Title>Acta fundacional de la fundación de interés privado BANISI INTERNATIONAL FOUNDATION</b:Title>
    <b:City>Panamá</b:City>
    <b:Year>2020</b:Year>
    <b:RefOrder>23</b:RefOrder>
  </b:Source>
</b:Sources>
</file>

<file path=customXml/itemProps1.xml><?xml version="1.0" encoding="utf-8"?>
<ds:datastoreItem xmlns:ds="http://schemas.openxmlformats.org/officeDocument/2006/customXml" ds:itemID="{905D106A-90C3-46E8-8755-8A556B95D75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63728</Words>
  <Characters>350510</Characters>
  <Application>Microsoft Office Word</Application>
  <DocSecurity>0</DocSecurity>
  <Lines>2920</Lines>
  <Paragraphs>826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413412</CharactersWithSpaces>
  <SharedDoc>false</SharedDoc>
  <HLinks>
    <vt:vector size="108" baseType="variant">
      <vt:variant>
        <vt:i4>4980821</vt:i4>
      </vt:variant>
      <vt:variant>
        <vt:i4>96</vt:i4>
      </vt:variant>
      <vt:variant>
        <vt:i4>0</vt:i4>
      </vt:variant>
      <vt:variant>
        <vt:i4>5</vt:i4>
      </vt:variant>
      <vt:variant>
        <vt:lpwstr>https://www.superbancos.gob.pa/superbancos/documentos/informacion_general_bancos/generales_de_bancos/Generales-de-Bancos-en-Banisi.pdf</vt:lpwstr>
      </vt:variant>
      <vt:variant>
        <vt:lpwstr/>
      </vt:variant>
      <vt:variant>
        <vt:i4>1900634</vt:i4>
      </vt:variant>
      <vt:variant>
        <vt:i4>93</vt:i4>
      </vt:variant>
      <vt:variant>
        <vt:i4>0</vt:i4>
      </vt:variant>
      <vt:variant>
        <vt:i4>5</vt:i4>
      </vt:variant>
      <vt:variant>
        <vt:lpwstr>https://web.archive.org/web/20060901233001/http:/www.bancoguayaquil.com:80/grupo_financiero/bank_trust/index.asp</vt:lpwstr>
      </vt:variant>
      <vt:variant>
        <vt:lpwstr/>
      </vt:variant>
      <vt:variant>
        <vt:i4>4784211</vt:i4>
      </vt:variant>
      <vt:variant>
        <vt:i4>90</vt:i4>
      </vt:variant>
      <vt:variant>
        <vt:i4>0</vt:i4>
      </vt:variant>
      <vt:variant>
        <vt:i4>5</vt:i4>
      </vt:variant>
      <vt:variant>
        <vt:lpwstr>https://www.bancoguayaquil.com/conocenos</vt:lpwstr>
      </vt:variant>
      <vt:variant>
        <vt:lpwstr/>
      </vt:variant>
      <vt:variant>
        <vt:i4>6488158</vt:i4>
      </vt:variant>
      <vt:variant>
        <vt:i4>48</vt:i4>
      </vt:variant>
      <vt:variant>
        <vt:i4>0</vt:i4>
      </vt:variant>
      <vt:variant>
        <vt:i4>5</vt:i4>
      </vt:variant>
      <vt:variant>
        <vt:lpwstr>https://www.youtube.com/watch?v=_-Dzqc1Bjjo</vt:lpwstr>
      </vt:variant>
      <vt:variant>
        <vt:lpwstr/>
      </vt:variant>
      <vt:variant>
        <vt:i4>2359332</vt:i4>
      </vt:variant>
      <vt:variant>
        <vt:i4>45</vt:i4>
      </vt:variant>
      <vt:variant>
        <vt:i4>0</vt:i4>
      </vt:variant>
      <vt:variant>
        <vt:i4>5</vt:i4>
      </vt:variant>
      <vt:variant>
        <vt:lpwstr>https://www.youtube.com/watch?v=oH2kEX5YFYs</vt:lpwstr>
      </vt:variant>
      <vt:variant>
        <vt:lpwstr/>
      </vt:variant>
      <vt:variant>
        <vt:i4>4128820</vt:i4>
      </vt:variant>
      <vt:variant>
        <vt:i4>42</vt:i4>
      </vt:variant>
      <vt:variant>
        <vt:i4>0</vt:i4>
      </vt:variant>
      <vt:variant>
        <vt:i4>5</vt:i4>
      </vt:variant>
      <vt:variant>
        <vt:lpwstr>https://www.youtube.com/watch?v=xgniOfRcpKw</vt:lpwstr>
      </vt:variant>
      <vt:variant>
        <vt:lpwstr/>
      </vt:variant>
      <vt:variant>
        <vt:i4>5767249</vt:i4>
      </vt:variant>
      <vt:variant>
        <vt:i4>39</vt:i4>
      </vt:variant>
      <vt:variant>
        <vt:i4>0</vt:i4>
      </vt:variant>
      <vt:variant>
        <vt:i4>5</vt:i4>
      </vt:variant>
      <vt:variant>
        <vt:lpwstr>http://www.icij.org/</vt:lpwstr>
      </vt:variant>
      <vt:variant>
        <vt:lpwstr/>
      </vt:variant>
      <vt:variant>
        <vt:i4>1572875</vt:i4>
      </vt:variant>
      <vt:variant>
        <vt:i4>6</vt:i4>
      </vt:variant>
      <vt:variant>
        <vt:i4>0</vt:i4>
      </vt:variant>
      <vt:variant>
        <vt:i4>5</vt:i4>
      </vt:variant>
      <vt:variant>
        <vt:lpwstr>https://www.banisipma.com/wp-content/uploads/2021/03/Informe-Banisi-S-A-Febrero-2021-.pdf</vt:lpwstr>
      </vt:variant>
      <vt:variant>
        <vt:lpwstr/>
      </vt:variant>
      <vt:variant>
        <vt:i4>6029319</vt:i4>
      </vt:variant>
      <vt:variant>
        <vt:i4>0</vt:i4>
      </vt:variant>
      <vt:variant>
        <vt:i4>0</vt:i4>
      </vt:variant>
      <vt:variant>
        <vt:i4>5</vt:i4>
      </vt:variant>
      <vt:variant>
        <vt:lpwstr>https://www.pagina12.com.ar/28514-las-mamushkas-financieras-de-lasso</vt:lpwstr>
      </vt:variant>
      <vt:variant>
        <vt:lpwstr/>
      </vt:variant>
      <vt:variant>
        <vt:i4>4718676</vt:i4>
      </vt:variant>
      <vt:variant>
        <vt:i4>24</vt:i4>
      </vt:variant>
      <vt:variant>
        <vt:i4>0</vt:i4>
      </vt:variant>
      <vt:variant>
        <vt:i4>5</vt:i4>
      </vt:variant>
      <vt:variant>
        <vt:lpwstr>https://docs.google.com/document/d/1tRf_OvlJj2aWEwGsetCLlVGsk--_Nk5tyVS1fPAN0Wc/edit</vt:lpwstr>
      </vt:variant>
      <vt:variant>
        <vt:lpwstr/>
      </vt:variant>
      <vt:variant>
        <vt:i4>5767249</vt:i4>
      </vt:variant>
      <vt:variant>
        <vt:i4>21</vt:i4>
      </vt:variant>
      <vt:variant>
        <vt:i4>0</vt:i4>
      </vt:variant>
      <vt:variant>
        <vt:i4>5</vt:i4>
      </vt:variant>
      <vt:variant>
        <vt:lpwstr>http://www.icij.org/</vt:lpwstr>
      </vt:variant>
      <vt:variant>
        <vt:lpwstr/>
      </vt:variant>
      <vt:variant>
        <vt:i4>5767249</vt:i4>
      </vt:variant>
      <vt:variant>
        <vt:i4>18</vt:i4>
      </vt:variant>
      <vt:variant>
        <vt:i4>0</vt:i4>
      </vt:variant>
      <vt:variant>
        <vt:i4>5</vt:i4>
      </vt:variant>
      <vt:variant>
        <vt:lpwstr>http://www.icij.org/</vt:lpwstr>
      </vt:variant>
      <vt:variant>
        <vt:lpwstr/>
      </vt:variant>
      <vt:variant>
        <vt:i4>5767249</vt:i4>
      </vt:variant>
      <vt:variant>
        <vt:i4>15</vt:i4>
      </vt:variant>
      <vt:variant>
        <vt:i4>0</vt:i4>
      </vt:variant>
      <vt:variant>
        <vt:i4>5</vt:i4>
      </vt:variant>
      <vt:variant>
        <vt:lpwstr>http://www.icij.org/</vt:lpwstr>
      </vt:variant>
      <vt:variant>
        <vt:lpwstr/>
      </vt:variant>
      <vt:variant>
        <vt:i4>5767249</vt:i4>
      </vt:variant>
      <vt:variant>
        <vt:i4>12</vt:i4>
      </vt:variant>
      <vt:variant>
        <vt:i4>0</vt:i4>
      </vt:variant>
      <vt:variant>
        <vt:i4>5</vt:i4>
      </vt:variant>
      <vt:variant>
        <vt:lpwstr>http://www.icij.org/</vt:lpwstr>
      </vt:variant>
      <vt:variant>
        <vt:lpwstr/>
      </vt:variant>
      <vt:variant>
        <vt:i4>5767249</vt:i4>
      </vt:variant>
      <vt:variant>
        <vt:i4>9</vt:i4>
      </vt:variant>
      <vt:variant>
        <vt:i4>0</vt:i4>
      </vt:variant>
      <vt:variant>
        <vt:i4>5</vt:i4>
      </vt:variant>
      <vt:variant>
        <vt:lpwstr>http://www.icij.org/</vt:lpwstr>
      </vt:variant>
      <vt:variant>
        <vt:lpwstr/>
      </vt:variant>
      <vt:variant>
        <vt:i4>6946933</vt:i4>
      </vt:variant>
      <vt:variant>
        <vt:i4>6</vt:i4>
      </vt:variant>
      <vt:variant>
        <vt:i4>0</vt:i4>
      </vt:variant>
      <vt:variant>
        <vt:i4>5</vt:i4>
      </vt:variant>
      <vt:variant>
        <vt:lpwstr>https://www.banisipanama.com/nuestra-historia/</vt:lpwstr>
      </vt:variant>
      <vt:variant>
        <vt:lpwstr/>
      </vt:variant>
      <vt:variant>
        <vt:i4>12517551</vt:i4>
      </vt:variant>
      <vt:variant>
        <vt:i4>3</vt:i4>
      </vt:variant>
      <vt:variant>
        <vt:i4>0</vt:i4>
      </vt:variant>
      <vt:variant>
        <vt:i4>5</vt:i4>
      </vt:variant>
      <vt:variant>
        <vt:lpwstr>https://www.sri.gob.ec/o/sri-portlet-biblioteca-alfresco-internet/descargar/81af3b2a-88b0-4fa5-9b5b-6b7d65c4c6b4/Conformación de los Grupos Económicos y su Comportamiento Tributario.xlsx</vt:lpwstr>
      </vt:variant>
      <vt:variant>
        <vt:lpwstr/>
      </vt:variant>
      <vt:variant>
        <vt:i4>6684708</vt:i4>
      </vt:variant>
      <vt:variant>
        <vt:i4>0</vt:i4>
      </vt:variant>
      <vt:variant>
        <vt:i4>0</vt:i4>
      </vt:variant>
      <vt:variant>
        <vt:i4>5</vt:i4>
      </vt:variant>
      <vt:variant>
        <vt:lpwstr>https://therealdeal.com/miami/2021/10/04/ecuadorian-president-linked-to-us-real-estate-named-in-pandora-papers/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sinch</dc:creator>
  <cp:keywords/>
  <dc:description/>
  <cp:lastModifiedBy>Mario Ramos Ramos</cp:lastModifiedBy>
  <cp:revision>2</cp:revision>
  <cp:lastPrinted>2021-11-04T00:06:00Z</cp:lastPrinted>
  <dcterms:created xsi:type="dcterms:W3CDTF">2021-11-06T11:56:00Z</dcterms:created>
  <dcterms:modified xsi:type="dcterms:W3CDTF">2021-11-06T11:56:00Z</dcterms:modified>
  <dc:language>es-EC</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